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498E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REPUBLIC OF UZBEKISTAN</w:t>
      </w:r>
    </w:p>
    <w:p w14:paraId="121B428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MINISTRY OF HIGHER EDUCATION, SCIENCE AND INNOVATION</w:t>
      </w:r>
    </w:p>
    <w:p w14:paraId="3AD499CD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TASHKENT STATE UNIVERSITY OF ECONOMICS SAMARKAND CAMPUS</w:t>
      </w:r>
    </w:p>
    <w:p w14:paraId="3963659C">
      <w:pPr>
        <w:rPr>
          <w:b/>
          <w:bCs/>
          <w:sz w:val="24"/>
          <w:szCs w:val="24"/>
          <w:lang w:val="en-US"/>
        </w:rPr>
      </w:pPr>
    </w:p>
    <w:p w14:paraId="091D1602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Faculty: </w:t>
      </w:r>
      <w:r>
        <w:rPr>
          <w:sz w:val="24"/>
          <w:szCs w:val="24"/>
          <w:lang w:val="en-US"/>
        </w:rPr>
        <w:t>Economics</w:t>
      </w:r>
    </w:p>
    <w:p w14:paraId="3BE1F79C">
      <w:pPr>
        <w:rPr>
          <w:b/>
          <w:bCs/>
          <w:sz w:val="24"/>
          <w:szCs w:val="24"/>
          <w:lang w:val="en-US"/>
        </w:rPr>
      </w:pPr>
    </w:p>
    <w:p w14:paraId="66E4EDF1">
      <w:pPr>
        <w:rPr>
          <w:rFonts w:hint="default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Field of study: </w:t>
      </w:r>
      <w:r>
        <w:rPr>
          <w:rFonts w:hint="default"/>
          <w:b/>
          <w:bCs/>
          <w:sz w:val="24"/>
          <w:szCs w:val="24"/>
          <w:lang w:val="en-US"/>
        </w:rPr>
        <w:t>ORI</w:t>
      </w:r>
    </w:p>
    <w:p w14:paraId="77892152">
      <w:pPr>
        <w:rPr>
          <w:b/>
          <w:bCs/>
          <w:sz w:val="24"/>
          <w:szCs w:val="24"/>
        </w:rPr>
      </w:pPr>
    </w:p>
    <w:p w14:paraId="62D040C5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Academic year: </w:t>
      </w:r>
      <w:r>
        <w:rPr>
          <w:sz w:val="24"/>
          <w:szCs w:val="24"/>
          <w:lang w:val="en-US"/>
        </w:rPr>
        <w:t>202</w:t>
      </w:r>
      <w:r>
        <w:rPr>
          <w:rFonts w:hint="default"/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-202</w:t>
      </w:r>
      <w:r>
        <w:rPr>
          <w:rFonts w:hint="default"/>
          <w:sz w:val="24"/>
          <w:szCs w:val="24"/>
          <w:lang w:val="en-US"/>
        </w:rPr>
        <w:t xml:space="preserve">6 </w:t>
      </w:r>
      <w:bookmarkStart w:id="47" w:name="_GoBack"/>
      <w:bookmarkEnd w:id="47"/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Level: 3 Semester: 6   Exam type: </w:t>
      </w:r>
      <w:r>
        <w:rPr>
          <w:sz w:val="24"/>
          <w:szCs w:val="24"/>
          <w:lang w:val="en-US"/>
        </w:rPr>
        <w:t>Written</w:t>
      </w:r>
    </w:p>
    <w:p w14:paraId="6A51BAAD">
      <w:pPr>
        <w:jc w:val="center"/>
        <w:rPr>
          <w:b/>
          <w:bCs/>
          <w:sz w:val="24"/>
          <w:szCs w:val="24"/>
          <w:lang w:val="en-US"/>
        </w:rPr>
      </w:pPr>
    </w:p>
    <w:p w14:paraId="5C737B6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The final exam questions of  </w:t>
      </w:r>
      <w:r>
        <w:rPr>
          <w:rFonts w:eastAsia="Calibri"/>
          <w:b/>
          <w:bCs/>
          <w:sz w:val="24"/>
          <w:szCs w:val="24"/>
          <w:lang w:val="uz-Cyrl-UZ" w:bidi="en-US"/>
        </w:rPr>
        <w:t xml:space="preserve">"Tax </w:t>
      </w:r>
      <w:r>
        <w:rPr>
          <w:rFonts w:eastAsia="Calibri"/>
          <w:b/>
          <w:bCs/>
          <w:sz w:val="24"/>
          <w:szCs w:val="24"/>
          <w:lang w:val="en-US" w:bidi="en-US"/>
        </w:rPr>
        <w:t xml:space="preserve">and taxation </w:t>
      </w:r>
      <w:r>
        <w:rPr>
          <w:rFonts w:eastAsia="Calibri"/>
          <w:b/>
          <w:bCs/>
          <w:sz w:val="24"/>
          <w:szCs w:val="24"/>
          <w:lang w:val="uz-Cyrl-UZ" w:bidi="en-US"/>
        </w:rPr>
        <w:t>"</w:t>
      </w:r>
      <w:r>
        <w:rPr>
          <w:rFonts w:eastAsia="Calibri"/>
          <w:b/>
          <w:bCs/>
          <w:sz w:val="24"/>
          <w:szCs w:val="24"/>
          <w:lang w:val="en-US" w:bidi="en-US"/>
        </w:rPr>
        <w:t xml:space="preserve"> course.</w:t>
      </w:r>
    </w:p>
    <w:p w14:paraId="55510DBB">
      <w:pPr>
        <w:jc w:val="both"/>
        <w:rPr>
          <w:rFonts w:eastAsia="Calibri"/>
          <w:b/>
          <w:bCs/>
          <w:sz w:val="24"/>
          <w:szCs w:val="24"/>
          <w:lang w:val="uz-Cyrl-UZ" w:bidi="en-US"/>
        </w:rPr>
      </w:pPr>
      <w:r>
        <w:rPr>
          <w:rFonts w:eastAsia="Calibri"/>
          <w:b/>
          <w:bCs/>
          <w:sz w:val="24"/>
          <w:szCs w:val="24"/>
          <w:lang w:val="uz-Cyrl-UZ" w:bidi="en-US"/>
        </w:rPr>
        <w:t xml:space="preserve"> </w:t>
      </w:r>
    </w:p>
    <w:p w14:paraId="2188A27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52506673"/>
      <w:r>
        <w:rPr>
          <w:rFonts w:ascii="Times New Roman" w:hAnsi="Times New Roman" w:cs="Times New Roman"/>
          <w:sz w:val="24"/>
          <w:szCs w:val="24"/>
          <w:lang w:val="en-US"/>
        </w:rPr>
        <w:t>The subject, purpose and tasks of the science "Tax and Taxation".</w:t>
      </w:r>
      <w:bookmarkEnd w:id="0"/>
    </w:p>
    <w:p w14:paraId="11CC84E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Study methodology and methods of "Taxation and Taxation".</w:t>
      </w:r>
    </w:p>
    <w:p w14:paraId="6E140A3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Relationship of "Tax and Taxation" with other educational subjects</w:t>
      </w:r>
    </w:p>
    <w:p w14:paraId="11D951A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52505766"/>
      <w:r>
        <w:rPr>
          <w:rFonts w:ascii="Times New Roman" w:hAnsi="Times New Roman" w:cs="Times New Roman"/>
          <w:sz w:val="24"/>
          <w:szCs w:val="24"/>
          <w:lang w:val="en-US"/>
        </w:rPr>
        <w:t>Objective necessity and specific characteristics of taxes</w:t>
      </w:r>
      <w:bookmarkEnd w:id="1"/>
    </w:p>
    <w:p w14:paraId="591D390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152506812"/>
      <w:r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bookmarkEnd w:id="2"/>
      <w:r>
        <w:rPr>
          <w:rFonts w:ascii="Times New Roman" w:hAnsi="Times New Roman" w:cs="Times New Roman"/>
          <w:sz w:val="24"/>
          <w:szCs w:val="24"/>
          <w:lang w:val="en-US"/>
        </w:rPr>
        <w:t>and tasks of taxes</w:t>
      </w:r>
    </w:p>
    <w:p w14:paraId="5121631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Hlk152506331"/>
      <w:r>
        <w:rPr>
          <w:rFonts w:ascii="Times New Roman" w:hAnsi="Times New Roman" w:cs="Times New Roman"/>
          <w:sz w:val="24"/>
          <w:szCs w:val="24"/>
          <w:lang w:val="en-US"/>
        </w:rPr>
        <w:t>Existing and applicable principles of taxation</w:t>
      </w:r>
      <w:bookmarkEnd w:id="3"/>
    </w:p>
    <w:p w14:paraId="08E41167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Hlk152506105"/>
      <w:bookmarkStart w:id="5" w:name="_Hlk152505739"/>
      <w:r>
        <w:rPr>
          <w:rFonts w:ascii="Times New Roman" w:hAnsi="Times New Roman" w:cs="Times New Roman"/>
          <w:sz w:val="24"/>
          <w:szCs w:val="24"/>
          <w:lang w:val="en-US"/>
        </w:rPr>
        <w:t>Understanding of the tax system and its essence</w:t>
      </w:r>
      <w:bookmarkEnd w:id="4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5"/>
    </w:p>
    <w:p w14:paraId="307C42E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_Hlk152505885"/>
      <w:r>
        <w:rPr>
          <w:rFonts w:ascii="Times New Roman" w:hAnsi="Times New Roman" w:cs="Times New Roman"/>
          <w:sz w:val="24"/>
          <w:szCs w:val="24"/>
          <w:lang w:val="en-US"/>
        </w:rPr>
        <w:t xml:space="preserve">Peculiarities of grouping </w:t>
      </w:r>
      <w:bookmarkEnd w:id="6"/>
      <w:r>
        <w:rPr>
          <w:rFonts w:ascii="Times New Roman" w:hAnsi="Times New Roman" w:cs="Times New Roman"/>
          <w:sz w:val="24"/>
          <w:szCs w:val="24"/>
          <w:lang w:val="en-US"/>
        </w:rPr>
        <w:t>of the tax system</w:t>
      </w:r>
    </w:p>
    <w:p w14:paraId="2A208C3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Hlk152507025"/>
      <w:r>
        <w:rPr>
          <w:rFonts w:ascii="Times New Roman" w:hAnsi="Times New Roman" w:cs="Times New Roman"/>
          <w:sz w:val="24"/>
          <w:szCs w:val="24"/>
          <w:lang w:val="en-US"/>
        </w:rPr>
        <w:t>Grouping of taxes</w:t>
      </w:r>
      <w:bookmarkEnd w:id="7"/>
    </w:p>
    <w:p w14:paraId="3DB0C997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Hlk152507913"/>
      <w:r>
        <w:rPr>
          <w:rFonts w:ascii="Times New Roman" w:hAnsi="Times New Roman" w:cs="Times New Roman"/>
          <w:sz w:val="24"/>
          <w:szCs w:val="24"/>
          <w:lang w:val="en-US"/>
        </w:rPr>
        <w:t xml:space="preserve"> Stages of formation and development of the tax system of the Republic of Uzbekistan</w:t>
      </w:r>
      <w:bookmarkEnd w:id="8"/>
    </w:p>
    <w:p w14:paraId="42327FF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9" w:name="_Hlk152505692"/>
      <w:r>
        <w:rPr>
          <w:rFonts w:ascii="Times New Roman" w:hAnsi="Times New Roman" w:cs="Times New Roman"/>
          <w:sz w:val="24"/>
          <w:szCs w:val="24"/>
          <w:lang w:val="en-US"/>
        </w:rPr>
        <w:t xml:space="preserve"> The main factors of introducing the concept of tax policy of the Republic of Uzbekistan </w:t>
      </w:r>
      <w:bookmarkEnd w:id="9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6520D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The main tasks of the tax concept.</w:t>
      </w:r>
    </w:p>
    <w:p w14:paraId="10A8E13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0" w:name="_Hlk152506269"/>
      <w:r>
        <w:rPr>
          <w:rFonts w:ascii="Times New Roman" w:hAnsi="Times New Roman" w:cs="Times New Roman"/>
          <w:sz w:val="24"/>
          <w:szCs w:val="24"/>
          <w:lang w:val="en-US"/>
        </w:rPr>
        <w:t xml:space="preserve"> Structure of value added tax payers</w:t>
      </w:r>
      <w:bookmarkEnd w:id="10"/>
    </w:p>
    <w:p w14:paraId="39D40AE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1" w:name="_Hlk152506985"/>
      <w:r>
        <w:rPr>
          <w:rFonts w:ascii="Times New Roman" w:hAnsi="Times New Roman" w:cs="Times New Roman"/>
          <w:sz w:val="24"/>
          <w:szCs w:val="24"/>
          <w:lang w:val="en-US"/>
        </w:rPr>
        <w:t xml:space="preserve"> The procedure for determining the object of taxation of value added tax and the tax base</w:t>
      </w:r>
      <w:bookmarkEnd w:id="11"/>
    </w:p>
    <w:p w14:paraId="16B28A7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Procedure for calculating value added tax</w:t>
      </w:r>
    </w:p>
    <w:p w14:paraId="5A77F06B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Specific features of taxation in case 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64F213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2" w:name="_Hlk152506387"/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xcise </w:t>
      </w:r>
      <w:r>
        <w:rPr>
          <w:rFonts w:ascii="Times New Roman" w:hAnsi="Times New Roman" w:cs="Times New Roman"/>
          <w:sz w:val="24"/>
          <w:szCs w:val="24"/>
          <w:lang w:val="en-US"/>
        </w:rPr>
        <w:t>tax payers</w:t>
      </w:r>
      <w:bookmarkEnd w:id="12"/>
    </w:p>
    <w:p w14:paraId="64BB48B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3" w:name="_Hlk152505896"/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xcise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tax </w:t>
      </w:r>
      <w:bookmarkStart w:id="14" w:name="_Hlk152506395"/>
      <w:r>
        <w:rPr>
          <w:rFonts w:ascii="Times New Roman" w:hAnsi="Times New Roman" w:cs="Times New Roman"/>
          <w:sz w:val="24"/>
          <w:szCs w:val="24"/>
          <w:lang w:val="en-US"/>
        </w:rPr>
        <w:t>and the tax base</w:t>
      </w:r>
      <w:bookmarkEnd w:id="13"/>
      <w:bookmarkEnd w:id="14"/>
    </w:p>
    <w:p w14:paraId="7FE0DA8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5" w:name="_Hlk152507109"/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xcise </w:t>
      </w:r>
      <w:r>
        <w:rPr>
          <w:rFonts w:ascii="Times New Roman" w:hAnsi="Times New Roman" w:cs="Times New Roman"/>
          <w:sz w:val="24"/>
          <w:szCs w:val="24"/>
          <w:lang w:val="en-US"/>
        </w:rPr>
        <w:t>goods and services. Tax rates</w:t>
      </w:r>
      <w:bookmarkEnd w:id="15"/>
    </w:p>
    <w:p w14:paraId="702D907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Procedure for calculating excise </w:t>
      </w:r>
      <w:r>
        <w:rPr>
          <w:rFonts w:ascii="Times New Roman" w:hAnsi="Times New Roman" w:cs="Times New Roman"/>
          <w:sz w:val="24"/>
          <w:szCs w:val="24"/>
        </w:rPr>
        <w:t>tax</w:t>
      </w:r>
    </w:p>
    <w:p w14:paraId="1F0D050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6" w:name="_Hlk152506025"/>
      <w:r>
        <w:rPr>
          <w:rFonts w:ascii="Times New Roman" w:hAnsi="Times New Roman" w:cs="Times New Roman"/>
          <w:sz w:val="24"/>
          <w:szCs w:val="24"/>
          <w:lang w:val="en-US"/>
        </w:rPr>
        <w:t xml:space="preserve"> Procedure for submission of excise tax report and payment of </w:t>
      </w:r>
      <w:bookmarkEnd w:id="16"/>
      <w:r>
        <w:rPr>
          <w:rFonts w:ascii="Times New Roman" w:hAnsi="Times New Roman" w:cs="Times New Roman"/>
          <w:sz w:val="24"/>
          <w:szCs w:val="24"/>
        </w:rPr>
        <w:t>tax</w:t>
      </w:r>
    </w:p>
    <w:p w14:paraId="51866329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7" w:name="_Hlk152506523"/>
      <w:r>
        <w:rPr>
          <w:rFonts w:ascii="Times New Roman" w:hAnsi="Times New Roman" w:cs="Times New Roman"/>
          <w:sz w:val="24"/>
          <w:szCs w:val="24"/>
          <w:lang w:val="en-US"/>
        </w:rPr>
        <w:t xml:space="preserve"> The composition of profit tax payers, the procedure for determining the object of taxation and the tax base</w:t>
      </w:r>
      <w:bookmarkEnd w:id="17"/>
    </w:p>
    <w:p w14:paraId="2B970DA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8" w:name="_Hlk152505782"/>
      <w:r>
        <w:rPr>
          <w:rFonts w:ascii="Times New Roman" w:hAnsi="Times New Roman" w:cs="Times New Roman"/>
          <w:sz w:val="24"/>
          <w:szCs w:val="24"/>
          <w:lang w:val="en-US"/>
        </w:rPr>
        <w:t xml:space="preserve"> Composition of total revenues. Cost structure</w:t>
      </w:r>
      <w:bookmarkEnd w:id="18"/>
    </w:p>
    <w:p w14:paraId="5CF2F5B6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Peculiarities of determining the tax base for certain taxpayers and types of </w:t>
      </w:r>
      <w:r>
        <w:rPr>
          <w:rFonts w:ascii="Times New Roman" w:hAnsi="Times New Roman" w:cs="Times New Roman"/>
          <w:sz w:val="24"/>
          <w:szCs w:val="24"/>
        </w:rPr>
        <w:t>operations</w:t>
      </w:r>
    </w:p>
    <w:p w14:paraId="6FC93C9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9" w:name="_Hlk152506511"/>
      <w:r>
        <w:rPr>
          <w:rFonts w:ascii="Times New Roman" w:hAnsi="Times New Roman" w:cs="Times New Roman"/>
          <w:sz w:val="24"/>
          <w:szCs w:val="24"/>
          <w:lang w:val="en-US"/>
        </w:rPr>
        <w:t xml:space="preserve"> Peculiarities of taxing the income of individual entrepreneurs</w:t>
      </w:r>
      <w:bookmarkEnd w:id="19"/>
    </w:p>
    <w:p w14:paraId="1626D8F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0" w:name="_Hlk152505707"/>
      <w:r>
        <w:rPr>
          <w:rFonts w:ascii="Times New Roman" w:hAnsi="Times New Roman" w:cs="Times New Roman"/>
          <w:sz w:val="24"/>
          <w:szCs w:val="24"/>
          <w:lang w:val="en-US"/>
        </w:rPr>
        <w:t xml:space="preserve"> The composition of the payers of personal income tax, the object of taxation and the tax base</w:t>
      </w:r>
      <w:bookmarkEnd w:id="20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5DEFF7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1" w:name="_Hlk152506480"/>
      <w:r>
        <w:rPr>
          <w:rFonts w:ascii="Times New Roman" w:hAnsi="Times New Roman" w:cs="Times New Roman"/>
          <w:sz w:val="24"/>
          <w:szCs w:val="24"/>
          <w:lang w:val="en-US"/>
        </w:rPr>
        <w:t xml:space="preserve"> Total income and its composition</w:t>
      </w:r>
      <w:bookmarkEnd w:id="21"/>
    </w:p>
    <w:p w14:paraId="0DCBC31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2" w:name="_Hlk152505821"/>
      <w:r>
        <w:rPr>
          <w:rFonts w:ascii="Times New Roman" w:hAnsi="Times New Roman" w:cs="Times New Roman"/>
          <w:sz w:val="24"/>
          <w:szCs w:val="24"/>
          <w:lang w:val="en-US"/>
        </w:rPr>
        <w:t xml:space="preserve"> Personal income tax credits and tax rates</w:t>
      </w:r>
      <w:bookmarkEnd w:id="22"/>
    </w:p>
    <w:p w14:paraId="5D07A2E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Composition of social tax payers</w:t>
      </w:r>
    </w:p>
    <w:p w14:paraId="0901E43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3" w:name="_Hlk152506915"/>
      <w:r>
        <w:rPr>
          <w:rFonts w:ascii="Times New Roman" w:hAnsi="Times New Roman" w:cs="Times New Roman"/>
          <w:sz w:val="24"/>
          <w:szCs w:val="24"/>
          <w:lang w:val="en-US"/>
        </w:rPr>
        <w:t xml:space="preserve"> Object of taxation of social tax and tax base</w:t>
      </w:r>
      <w:bookmarkEnd w:id="23"/>
    </w:p>
    <w:p w14:paraId="289DF45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tax rates</w:t>
      </w:r>
    </w:p>
    <w:p w14:paraId="4EB2A07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4" w:name="_Hlk152505718"/>
      <w:r>
        <w:rPr>
          <w:rFonts w:ascii="Times New Roman" w:hAnsi="Times New Roman" w:cs="Times New Roman"/>
          <w:sz w:val="24"/>
          <w:szCs w:val="24"/>
          <w:lang w:val="en-US"/>
        </w:rPr>
        <w:t xml:space="preserve"> Procedure for calculation of social tax, submission of tax report and payment of tax</w:t>
      </w:r>
      <w:bookmarkEnd w:id="24"/>
    </w:p>
    <w:p w14:paraId="35C1E0C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5" w:name="_Hlk152506745"/>
      <w:r>
        <w:rPr>
          <w:rFonts w:ascii="Times New Roman" w:hAnsi="Times New Roman" w:cs="Times New Roman"/>
          <w:sz w:val="24"/>
          <w:szCs w:val="24"/>
          <w:lang w:val="en-US"/>
        </w:rPr>
        <w:t xml:space="preserve"> The composition of tax payers on the property of legal entities, the procedure for determining the object of taxation and the tax base</w:t>
      </w:r>
      <w:bookmarkEnd w:id="25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D9D277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6" w:name="_Hlk152505922"/>
      <w:r>
        <w:rPr>
          <w:rFonts w:ascii="Times New Roman" w:hAnsi="Times New Roman" w:cs="Times New Roman"/>
          <w:sz w:val="24"/>
          <w:szCs w:val="24"/>
          <w:lang w:val="en-US"/>
        </w:rPr>
        <w:t xml:space="preserve"> Benefits and tax rates for property tax of legal entities</w:t>
      </w:r>
      <w:bookmarkEnd w:id="26"/>
    </w:p>
    <w:p w14:paraId="646C0FB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7" w:name="_Hlk152506438"/>
      <w:r>
        <w:rPr>
          <w:rFonts w:ascii="Times New Roman" w:hAnsi="Times New Roman" w:cs="Times New Roman"/>
          <w:sz w:val="24"/>
          <w:szCs w:val="24"/>
          <w:lang w:val="en-US"/>
        </w:rPr>
        <w:t xml:space="preserve"> Composition of property tax payers, tax base</w:t>
      </w:r>
      <w:bookmarkEnd w:id="27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0A31228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The composition of land tax payers from legal entities, the procedure for determining the object of taxation and the tax base</w:t>
      </w:r>
    </w:p>
    <w:p w14:paraId="2AFC50F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Land tax benefits and tax rates for legal entities</w:t>
      </w:r>
    </w:p>
    <w:p w14:paraId="2CBBC63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8" w:name="_Hlk152505728"/>
      <w:r>
        <w:rPr>
          <w:rFonts w:ascii="Times New Roman" w:hAnsi="Times New Roman" w:cs="Times New Roman"/>
          <w:sz w:val="24"/>
          <w:szCs w:val="24"/>
          <w:lang w:val="en-US"/>
        </w:rPr>
        <w:t xml:space="preserve"> Procedure for calculation of land tax from legal entities, submission of tax report and payment of tax</w:t>
      </w:r>
      <w:bookmarkEnd w:id="28"/>
    </w:p>
    <w:p w14:paraId="3AAEF5D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9" w:name="_Hlk152505937"/>
      <w:r>
        <w:rPr>
          <w:rFonts w:ascii="Times New Roman" w:hAnsi="Times New Roman" w:cs="Times New Roman"/>
          <w:sz w:val="24"/>
          <w:szCs w:val="24"/>
          <w:lang w:val="en-US"/>
        </w:rPr>
        <w:t xml:space="preserve"> Composition of land tax payers</w:t>
      </w:r>
      <w:bookmarkEnd w:id="29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19B069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Land tax benefits for individuals, tax rates, tax calculation and payment procedure</w:t>
      </w:r>
    </w:p>
    <w:p w14:paraId="2591A9A7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0" w:name="_Hlk152507446"/>
      <w:bookmarkStart w:id="31" w:name="_Hlk152506411"/>
      <w:r>
        <w:rPr>
          <w:rFonts w:ascii="Times New Roman" w:hAnsi="Times New Roman" w:cs="Times New Roman"/>
          <w:sz w:val="24"/>
          <w:szCs w:val="24"/>
          <w:lang w:val="en-US"/>
        </w:rPr>
        <w:t xml:space="preserve"> The composition of tax payers for the use of water resources, the procedure for determining the object of taxation and the tax base</w:t>
      </w:r>
      <w:bookmarkEnd w:id="30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31"/>
    </w:p>
    <w:p w14:paraId="602628A8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Structure of subsoil use tax payers, taxation object and the procedure for determining the tax base</w:t>
      </w:r>
    </w:p>
    <w:p w14:paraId="32F2AFB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2" w:name="_Hlk152506308"/>
      <w:r>
        <w:rPr>
          <w:rFonts w:ascii="Times New Roman" w:hAnsi="Times New Roman" w:cs="Times New Roman"/>
          <w:sz w:val="24"/>
          <w:szCs w:val="24"/>
          <w:lang w:val="en-US"/>
        </w:rPr>
        <w:t xml:space="preserve"> Subsoil use tax rates, tax calculation, tax reporting and tax payment procedure</w:t>
      </w:r>
      <w:bookmarkEnd w:id="32"/>
    </w:p>
    <w:p w14:paraId="234ADA0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3" w:name="_Hlk152505998"/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ax </w:t>
      </w:r>
      <w:r>
        <w:rPr>
          <w:rFonts w:ascii="Times New Roman" w:hAnsi="Times New Roman" w:cs="Times New Roman"/>
          <w:sz w:val="24"/>
          <w:szCs w:val="24"/>
          <w:lang w:val="en-US"/>
        </w:rPr>
        <w:t>payers and specific features of the application of this tax</w:t>
      </w:r>
      <w:bookmarkEnd w:id="33"/>
    </w:p>
    <w:p w14:paraId="099B891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4" w:name="_Hlk152505849"/>
      <w:r>
        <w:rPr>
          <w:rFonts w:ascii="Times New Roman" w:hAnsi="Times New Roman" w:cs="Times New Roman"/>
          <w:sz w:val="24"/>
          <w:szCs w:val="24"/>
          <w:lang w:val="en-US"/>
        </w:rPr>
        <w:t xml:space="preserve"> Object of taxation and tax base of tax received from </w:t>
      </w:r>
      <w:bookmarkEnd w:id="34"/>
      <w:r>
        <w:rPr>
          <w:rFonts w:ascii="Times New Roman" w:hAnsi="Times New Roman" w:cs="Times New Roman"/>
          <w:sz w:val="24"/>
          <w:szCs w:val="24"/>
        </w:rPr>
        <w:t>A</w:t>
      </w:r>
    </w:p>
    <w:p w14:paraId="2EE676C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VAT tax and its calculation with examples. </w:t>
      </w:r>
    </w:p>
    <w:p w14:paraId="5A67276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Describe direct and indirect taxes with rates.  </w:t>
      </w:r>
    </w:p>
    <w:p w14:paraId="425E767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Corporate income tax and its rates. </w:t>
      </w:r>
    </w:p>
    <w:p w14:paraId="3CF3EFA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Property tax and its rates. </w:t>
      </w:r>
    </w:p>
    <w:p w14:paraId="753E930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xcise </w:t>
      </w:r>
      <w:r>
        <w:rPr>
          <w:rFonts w:ascii="Times New Roman" w:hAnsi="Times New Roman" w:cs="Times New Roman"/>
          <w:sz w:val="24"/>
          <w:szCs w:val="24"/>
          <w:lang w:val="en-US"/>
        </w:rPr>
        <w:t>tax and its rates.</w:t>
      </w:r>
    </w:p>
    <w:p w14:paraId="7C9AF21E">
      <w:pPr>
        <w:pStyle w:val="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4757DE">
      <w:pPr>
        <w:ind w:left="-41"/>
        <w:contextualSpacing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Independent education topics:</w:t>
      </w:r>
    </w:p>
    <w:p w14:paraId="4F02B9F0">
      <w:pPr>
        <w:pStyle w:val="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A4014F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The essence and priorities of the concept of improving the tax policy of the Republic of Uzbekistan</w:t>
      </w:r>
    </w:p>
    <w:p w14:paraId="4CD2F45D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Special procedure for taxation</w:t>
      </w:r>
    </w:p>
    <w:p w14:paraId="53F56442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Issues of introduction of tax risk assessment system and improvement of tax accounting</w:t>
      </w:r>
    </w:p>
    <w:p w14:paraId="081414F7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The procedure for formalizing the results of the tax audit and its review</w:t>
      </w:r>
    </w:p>
    <w:p w14:paraId="05750B2B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Types of tax audits and their organization</w:t>
      </w:r>
    </w:p>
    <w:p w14:paraId="763A3660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Tax audit procedure</w:t>
      </w:r>
    </w:p>
    <w:p w14:paraId="32450533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Taxation procedure for certain categories of taxpayers</w:t>
      </w:r>
    </w:p>
    <w:p w14:paraId="1CE546FA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Tax policy directions and introduction to the tax system</w:t>
      </w:r>
    </w:p>
    <w:p w14:paraId="22E0A94F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Accounting of taxes and mandatory payments in tax offices.</w:t>
      </w:r>
    </w:p>
    <w:p w14:paraId="1FCBEFED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Priorities of the tax concept</w:t>
      </w:r>
    </w:p>
    <w:p w14:paraId="6DC021B9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Obligations of taxpayers in tax legislation</w:t>
      </w:r>
    </w:p>
    <w:p w14:paraId="7EDAB31C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Experience of advanced foreign countries in implementation of tax administration</w:t>
      </w:r>
    </w:p>
    <w:p w14:paraId="27163195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Types and forms of production</w:t>
      </w:r>
    </w:p>
    <w:p w14:paraId="1978F713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collection procedure</w:t>
      </w:r>
    </w:p>
    <w:p w14:paraId="50AB547D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Procedure for payment of taxes</w:t>
      </w:r>
    </w:p>
    <w:p w14:paraId="57D52F47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base</w:t>
      </w:r>
    </w:p>
    <w:p w14:paraId="288397E7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Sources of tax object</w:t>
      </w:r>
    </w:p>
    <w:p w14:paraId="5B673BFA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Definition of the criterion of physical person</w:t>
      </w:r>
    </w:p>
    <w:p w14:paraId="2274D577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Legal Aspects of Employer's Estimated Taxes and Payments.</w:t>
      </w:r>
    </w:p>
    <w:p w14:paraId="772E026E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The process of formation of profit tax according to the tax code</w:t>
      </w:r>
    </w:p>
    <w:p w14:paraId="3B202BC0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Meaning and essence of profit tax</w:t>
      </w:r>
    </w:p>
    <w:p w14:paraId="5C3B2CE8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Forms and types of income</w:t>
      </w:r>
    </w:p>
    <w:p w14:paraId="6536970C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Non-taxable income</w:t>
      </w:r>
    </w:p>
    <w:p w14:paraId="7A4D8E3C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payment forms</w:t>
      </w:r>
    </w:p>
    <w:p w14:paraId="0C567CB3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 xml:space="preserve">Specific features of the tax on </w:t>
      </w:r>
      <w:r>
        <w:rPr>
          <w:bCs/>
          <w:sz w:val="24"/>
          <w:szCs w:val="24"/>
          <w:lang w:val="en-US"/>
        </w:rPr>
        <w:t>land resources</w:t>
      </w:r>
    </w:p>
    <w:p w14:paraId="6CFA9DE4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Land </w:t>
      </w:r>
      <w:r>
        <w:rPr>
          <w:bCs/>
          <w:sz w:val="24"/>
          <w:szCs w:val="24"/>
          <w:lang w:val="uz-Cyrl-UZ"/>
        </w:rPr>
        <w:t>ownership, mutual sales contracts</w:t>
      </w:r>
    </w:p>
    <w:p w14:paraId="65881CE0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control</w:t>
      </w:r>
    </w:p>
    <w:p w14:paraId="31C8B0B1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control, its types and forms.</w:t>
      </w:r>
    </w:p>
    <w:p w14:paraId="7B2F3EAE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Forms and modern methods of organization of control activities of tax authorities</w:t>
      </w:r>
    </w:p>
    <w:p w14:paraId="5E8484E2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35" w:name="_Hlk152506116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Common features of taxes and their interaction with other economic categories</w:t>
      </w:r>
      <w:bookmarkEnd w:id="35"/>
    </w:p>
    <w:p w14:paraId="1CEAACB1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36" w:name="_Hlk152507272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 xml:space="preserve">Simplification of taxes in the action strategy for the five priority areas of development of the Republic of Uzbekistan in 2017-2021 </w:t>
      </w:r>
      <w:bookmarkEnd w:id="36"/>
      <w:r>
        <w:rPr>
          <w:bCs/>
          <w:sz w:val="24"/>
          <w:szCs w:val="24"/>
          <w:lang w:val="uz-Cyrl-UZ"/>
        </w:rPr>
        <w:t>.</w:t>
      </w:r>
    </w:p>
    <w:p w14:paraId="71EFCCED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37" w:name="_Hlk152506954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and taxation issues in the Development Strategy of New Uzbekistan for 2022-2026</w:t>
      </w:r>
      <w:bookmarkEnd w:id="37"/>
    </w:p>
    <w:p w14:paraId="17959D02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Peculiarities of taxation of foreign legal entities providing services in electronic form</w:t>
      </w:r>
    </w:p>
    <w:p w14:paraId="61B50168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38" w:name="_Hlk152506049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Specific features of taxation of income in the form of dividends and interest paid to tax residents of the Republic of Uzbekistan</w:t>
      </w:r>
      <w:bookmarkEnd w:id="38"/>
    </w:p>
    <w:p w14:paraId="7803EF02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Peculiarities of taxation of income of non-residents from activities carried out through a permanent establishment and from activities not related to a permanent establishment</w:t>
      </w:r>
    </w:p>
    <w:p w14:paraId="49F52613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39" w:name="_Hlk152506753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Peculiarities of calculation and payment of social tax by certain categories of individuals</w:t>
      </w:r>
      <w:bookmarkEnd w:id="39"/>
    </w:p>
    <w:p w14:paraId="5CC2749A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40" w:name="_Hlk152506594"/>
      <w:r>
        <w:rPr>
          <w:bCs/>
          <w:sz w:val="24"/>
          <w:szCs w:val="24"/>
          <w:lang w:val="uz-Cyrl-UZ"/>
        </w:rPr>
        <w:t>The procedure for calculating the property tax of legal entities, submitting a tax report and paying the tax</w:t>
      </w:r>
      <w:bookmarkEnd w:id="40"/>
    </w:p>
    <w:p w14:paraId="2B001FA6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41" w:name="_Hlk152506889"/>
      <w:r>
        <w:rPr>
          <w:bCs/>
          <w:sz w:val="24"/>
          <w:szCs w:val="24"/>
          <w:lang w:val="uz-Cyrl-UZ"/>
        </w:rPr>
        <w:t>Property tax benefits for individuals, tax rates, tax calculation and payment procedure</w:t>
      </w:r>
      <w:bookmarkEnd w:id="41"/>
    </w:p>
    <w:p w14:paraId="3ECAE5C4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Turnover tax rates, tax calculation, tax reporting and tax payment procedures</w:t>
      </w:r>
    </w:p>
    <w:p w14:paraId="08DD6E77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42" w:name="_Hlk152506157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Procedure for submission of value added tax report and payment of tax</w:t>
      </w:r>
      <w:bookmarkEnd w:id="42"/>
    </w:p>
    <w:p w14:paraId="31E3920A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43" w:name="_Hlk152506179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Profit tax rates, tax calculation and payment procedure</w:t>
      </w:r>
      <w:bookmarkEnd w:id="43"/>
    </w:p>
    <w:p w14:paraId="02665610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44" w:name="_Hlk152506967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Procedure for calculation of personal income tax, submission of tax report and payment</w:t>
      </w:r>
      <w:bookmarkEnd w:id="44"/>
    </w:p>
    <w:p w14:paraId="2B0061C8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45" w:name="_Hlk152506197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The procedure for taxation of income based on the declaration of total annual income</w:t>
      </w:r>
      <w:bookmarkEnd w:id="45"/>
    </w:p>
    <w:p w14:paraId="48B3F173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7"/>
          <w:szCs w:val="27"/>
          <w:lang w:val="en-US"/>
        </w:rPr>
      </w:pPr>
      <w:bookmarkStart w:id="46" w:name="_Hlk152505960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rates for the use of water resources, the procedure for calculating the tax, submitting a tax report and paying the ta</w:t>
      </w:r>
      <w:bookmarkEnd w:id="46"/>
      <w:r>
        <w:rPr>
          <w:bCs/>
          <w:sz w:val="27"/>
          <w:szCs w:val="27"/>
          <w:lang w:val="en-US"/>
        </w:rPr>
        <w:t xml:space="preserve">x. </w:t>
      </w:r>
    </w:p>
    <w:sectPr>
      <w:pgSz w:w="11906" w:h="16838"/>
      <w:pgMar w:top="1134" w:right="851" w:bottom="1134" w:left="1701" w:header="709" w:footer="709" w:gutter="0"/>
      <w:lnNumType w:countBy="75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C098D"/>
    <w:multiLevelType w:val="multilevel"/>
    <w:tmpl w:val="2A8C098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179D7"/>
    <w:multiLevelType w:val="multilevel"/>
    <w:tmpl w:val="51D179D7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99"/>
    <w:rsid w:val="000E427E"/>
    <w:rsid w:val="001E39B7"/>
    <w:rsid w:val="00211799"/>
    <w:rsid w:val="006A5812"/>
    <w:rsid w:val="006E2E6C"/>
    <w:rsid w:val="008E5293"/>
    <w:rsid w:val="00A239FB"/>
    <w:rsid w:val="00A27FEA"/>
    <w:rsid w:val="00A56733"/>
    <w:rsid w:val="00BF0445"/>
    <w:rsid w:val="00C422DF"/>
    <w:rsid w:val="00C61D32"/>
    <w:rsid w:val="00D65854"/>
    <w:rsid w:val="00DF48DB"/>
    <w:rsid w:val="00E10A13"/>
    <w:rsid w:val="00E67D0D"/>
    <w:rsid w:val="00EA45B1"/>
    <w:rsid w:val="00F82152"/>
    <w:rsid w:val="00F956DD"/>
    <w:rsid w:val="01D376B2"/>
    <w:rsid w:val="02246E13"/>
    <w:rsid w:val="04F433AE"/>
    <w:rsid w:val="0AD87142"/>
    <w:rsid w:val="0BE1520A"/>
    <w:rsid w:val="0F7D59F6"/>
    <w:rsid w:val="114A5C90"/>
    <w:rsid w:val="11CD3FC1"/>
    <w:rsid w:val="14AF530F"/>
    <w:rsid w:val="18D1725F"/>
    <w:rsid w:val="1AA646C4"/>
    <w:rsid w:val="1AB601E2"/>
    <w:rsid w:val="1B080EE5"/>
    <w:rsid w:val="1FAD7985"/>
    <w:rsid w:val="216A315E"/>
    <w:rsid w:val="2A031B7E"/>
    <w:rsid w:val="2AAB580F"/>
    <w:rsid w:val="2D9829DE"/>
    <w:rsid w:val="2DF763A8"/>
    <w:rsid w:val="39D114EA"/>
    <w:rsid w:val="3A5C6ECF"/>
    <w:rsid w:val="3F5A0D98"/>
    <w:rsid w:val="3FF94882"/>
    <w:rsid w:val="4221770A"/>
    <w:rsid w:val="45A3734C"/>
    <w:rsid w:val="46456C98"/>
    <w:rsid w:val="48B56CDA"/>
    <w:rsid w:val="4CB9236D"/>
    <w:rsid w:val="4F493920"/>
    <w:rsid w:val="513A764B"/>
    <w:rsid w:val="57782C90"/>
    <w:rsid w:val="5D140643"/>
    <w:rsid w:val="5EAD6299"/>
    <w:rsid w:val="62BE310D"/>
    <w:rsid w:val="66595E77"/>
    <w:rsid w:val="6BD43675"/>
    <w:rsid w:val="772203DA"/>
    <w:rsid w:val="7C525383"/>
    <w:rsid w:val="7E514E49"/>
    <w:rsid w:val="7E92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kern w:val="2"/>
      <w:sz w:val="22"/>
      <w:szCs w:val="22"/>
      <w:lang w:val="en" w:eastAsia="en-US" w:bidi="ar-SA"/>
      <w14:ligatures w14:val="standardContextual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950</Words>
  <Characters>5077</Characters>
  <Lines>43</Lines>
  <Paragraphs>12</Paragraphs>
  <TotalTime>8</TotalTime>
  <ScaleCrop>false</ScaleCrop>
  <LinksUpToDate>false</LinksUpToDate>
  <CharactersWithSpaces>6032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2023-12-03T04:12:00Z</dcterms:created>
  <dc:creator>E-MAX PC Shop</dc:creator>
  <cp:lastModifiedBy>User</cp:lastModifiedBy>
  <dcterms:modified xsi:type="dcterms:W3CDTF">2026-04-24T07:58:33Z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3B961A1E101D404B9D361ECC404C816E_13</vt:lpwstr>
  </property>
  <property fmtid="{D5CDD505-2E9C-101B-9397-08002B2CF9AE}" pid="4" name="KSOTemplateDocerSaveRecord">
    <vt:lpwstr>eyJoZGlkIjoiYmEyZDMxNWRkYmY5MjE3NjUxYTk3ZDA1NDUyNmVkYWEifQ==</vt:lpwstr>
  </property>
</Properties>
</file>