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83176" w14:textId="77777777" w:rsidR="00915099" w:rsidRPr="00B50053" w:rsidRDefault="00915099">
      <w:pPr>
        <w:rPr>
          <w:sz w:val="24"/>
          <w:szCs w:val="24"/>
        </w:rPr>
      </w:pPr>
    </w:p>
    <w:p w14:paraId="2368B708" w14:textId="4A0FE48C" w:rsidR="00915099" w:rsidRPr="00B50053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“Tannarx - mahsulot hajmi - foyda”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(Cost-Volume-Profit (CVP)</w:t>
      </w:r>
      <w:r w:rsidR="003274D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usulining mohiyati va qo’llanilishi. </w:t>
      </w:r>
    </w:p>
    <w:p w14:paraId="7FD9871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Asosiy byudjetni tuzish.</w:t>
      </w:r>
    </w:p>
    <w:p w14:paraId="3CB3398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Asosiy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smetaga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ta’rif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berish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Byudjetni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smetani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rejalashtirish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166C4679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Axborotdan foydalanuvchilar nuqtai-nazaridan boshqaruv hisobi va moliyaviy hisob o‘rtasidagi farqlarni izohlab bering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Ma’lumotlardan foydalanuvchilarga, hisob ma’lumotlarini aks ettirish usuliga, tanlash erkinligiga, o‘lchov birligiga, buxgalteriya hisobi obyektlariga, hisobotning tuzilish vaqtiga, ishonchlilik darajasiga va buxgalteriya hisobini yuritish majburiyatiga qarab)</w:t>
      </w:r>
      <w:r w:rsidRPr="00B50053">
        <w:rPr>
          <w:rFonts w:ascii="Times New Roman" w:hAnsi="Times New Roman"/>
          <w:i/>
          <w:sz w:val="24"/>
          <w:szCs w:val="24"/>
          <w:lang w:val="uz-Latn-UZ"/>
        </w:rPr>
        <w:t>.</w:t>
      </w:r>
    </w:p>
    <w:p w14:paraId="5AEE7B56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Bahoni shakllantirish bo‘yicha qaror qabul qilish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(biznes tarkibini o‘zgartirish (restruktrizatsiya) bo‘yicha qaror qabul qilish, Sotib olish kerakmi? yoki o‘zimiz ishlab chiqarishimiz ma’qulmi? qarorini qabul qilishga relevantli yondashish).</w:t>
      </w:r>
    </w:p>
    <w:p w14:paraId="5C40DB6F" w14:textId="77777777" w:rsidR="00915099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Boshqaruv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hisobini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tashkil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etish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tizimlari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 xml:space="preserve"> (a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xborotlarni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qamrash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kengligi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, o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perativ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tezkor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>)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lik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annarxga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kiritishning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to‘liqligi</w:t>
      </w:r>
      <w:proofErr w:type="spellEnd"/>
      <w:r w:rsidRPr="00B50053">
        <w:rPr>
          <w:rFonts w:ascii="Times New Roman" w:hAnsi="Times New Roman"/>
          <w:sz w:val="24"/>
          <w:szCs w:val="24"/>
          <w:lang w:val="uz-Cyrl-UZ"/>
        </w:rPr>
        <w:t>)</w:t>
      </w:r>
    </w:p>
    <w:p w14:paraId="4B131271" w14:textId="77777777" w:rsidR="00915099" w:rsidRPr="008B6E29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mohiyati  va uning elementlari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(asosiy vazifalari, zaruriyati, tizimi)</w:t>
      </w:r>
      <w:r w:rsidRPr="008B6E29">
        <w:rPr>
          <w:rFonts w:ascii="Times New Roman" w:hAnsi="Times New Roman"/>
          <w:sz w:val="24"/>
          <w:szCs w:val="24"/>
          <w:lang w:val="uz-Cyrl-UZ"/>
        </w:rPr>
        <w:t>.</w:t>
      </w:r>
    </w:p>
    <w:p w14:paraId="5644175E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Boshqaruv hisobining moliyaviy hisob bilan aloqalari va farqli jihatlari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Boshqaruv va moliyaviy hisobining hisobot davriyligi, hisobot obyekti, konsolidasiyasi, tamoyil va qoidalarga tayanishidagi farqlari)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1F50A1C7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Boshqaruv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qarorlarini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b/>
          <w:sz w:val="24"/>
          <w:szCs w:val="24"/>
          <w:lang w:val="en-US"/>
        </w:rPr>
        <w:t>modellari</w:t>
      </w:r>
      <w:proofErr w:type="spellEnd"/>
      <w:r w:rsidRPr="00B5005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Pr="00B50053">
        <w:rPr>
          <w:rFonts w:ascii="Times New Roman" w:hAnsi="Times New Roman"/>
          <w:sz w:val="24"/>
          <w:szCs w:val="24"/>
          <w:lang w:val="uz-Cyrl-UZ"/>
        </w:rPr>
        <w:t>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alternativ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o‘zgaruvchan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ko‘rsatkichlar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parametrlar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o‘zgarmaydigan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ko‘rsatkichlar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qaror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natijasini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tahlil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qilish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sonli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sifat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50053">
        <w:rPr>
          <w:rFonts w:ascii="Times New Roman" w:hAnsi="Times New Roman"/>
          <w:sz w:val="24"/>
          <w:szCs w:val="24"/>
          <w:lang w:val="en-US"/>
        </w:rPr>
        <w:t>omillari</w:t>
      </w:r>
      <w:proofErr w:type="spellEnd"/>
      <w:r w:rsidRPr="00B50053">
        <w:rPr>
          <w:rFonts w:ascii="Times New Roman" w:hAnsi="Times New Roman"/>
          <w:sz w:val="24"/>
          <w:szCs w:val="24"/>
          <w:lang w:val="en-US"/>
        </w:rPr>
        <w:t>).</w:t>
      </w:r>
    </w:p>
    <w:p w14:paraId="5F0332A8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Boshqaruv qarorlarini qabul qilish.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(Ishlab chiqarish zararsizligini tahlil etish).</w:t>
      </w:r>
    </w:p>
    <w:p w14:paraId="2765F1D5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US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Buxgalteriya hisobining Respublikamizda rivojlanish yo‘nalishlari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Moliyaviy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boshqaruv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1B97363F" w14:textId="5AC2E0BA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Buyurtmali kalkulyasiyaning xususiyatlari va muqobil yondashuvlari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(muqobillik turlari, boshqa kalkulyasiyalardan farqi)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1308BF4B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Chetlanishlar hisobi – xarajatlarni nazorat qilishdagi muhim vosita (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to‘g‘ri materiallar xarajatlaridagi chetlanishlar, to‘g‘ri </w:t>
      </w:r>
      <w:r w:rsidRPr="00B50053">
        <w:rPr>
          <w:rFonts w:ascii="Times New Roman" w:hAnsi="Times New Roman"/>
          <w:sz w:val="24"/>
          <w:szCs w:val="24"/>
          <w:lang w:val="uz-Cyrl-UZ"/>
        </w:rPr>
        <w:t>mehnat xarajatlaridagi chetlanishlar, umumishlab chiqarish xarajatlaridagi chetlanishlar)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0BAB7E48" w14:textId="77777777" w:rsidR="00915099" w:rsidRPr="00915099" w:rsidRDefault="00915099" w:rsidP="00F30F96">
      <w:pPr>
        <w:pStyle w:val="a6"/>
        <w:numPr>
          <w:ilvl w:val="0"/>
          <w:numId w:val="7"/>
        </w:numPr>
        <w:ind w:right="43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bCs/>
          <w:sz w:val="24"/>
          <w:szCs w:val="24"/>
          <w:lang w:val="uz-Cyrl-UZ"/>
        </w:rPr>
        <w:t>Ikkilamchi mahsulotlar  hisobi.</w:t>
      </w:r>
    </w:p>
    <w:p w14:paraId="390996F4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Ishlab chiqarish jarayonida tannarxning o’zgarishi: o’rtacha salmoqli va FIFO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(mahsulot birligi, qo’llanishi).</w:t>
      </w:r>
    </w:p>
    <w:p w14:paraId="15A6A44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(Qo‘shimcha mahsulot hisobi).</w:t>
      </w:r>
    </w:p>
    <w:p w14:paraId="647F3234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sotishga asoslangan usul).</w:t>
      </w:r>
    </w:p>
    <w:p w14:paraId="226F0F16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ishlab chiqarish xarajatlarini taqsimlash usulllar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(Yalpi foyda doimiy ulushi usuli, natural ko’rsatkichli usul).</w:t>
      </w:r>
    </w:p>
    <w:p w14:paraId="6D65C77C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Kompleks yoki qo’shimcha ishlab chiqarish xarajatlari taqsimlash usullari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(sof sotish qiymati usuli, yalpi foyda doimiy ulushi usuli).</w:t>
      </w:r>
    </w:p>
    <w:p w14:paraId="571A5833" w14:textId="77777777" w:rsidR="00793585" w:rsidRPr="00793585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 va davr (operasion) xarajatlari.</w:t>
      </w:r>
    </w:p>
    <w:p w14:paraId="785E0039" w14:textId="2B9D92ED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O’zgaruvchan va doimiy xarajatlar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Tannarx drayveri, Yarimdoimiy xarajatlar, Relevant diapazon)</w:t>
      </w:r>
      <w:r w:rsidRPr="00B50053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0A41B5E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Mahsulot tannarxini kalkulyasiya qilish tizimlari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(buyurtmali kalkulyasiya, jarayonli kalkulyasiya)</w:t>
      </w:r>
      <w:r w:rsidRPr="00B50053">
        <w:rPr>
          <w:rFonts w:ascii="Times New Roman" w:hAnsi="Times New Roman"/>
          <w:sz w:val="24"/>
          <w:szCs w:val="24"/>
          <w:lang w:val="en-US"/>
        </w:rPr>
        <w:t>.</w:t>
      </w:r>
    </w:p>
    <w:p w14:paraId="04C9F11D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Maqsadli kalkulyasiyaning mohiyati va qo’llanilishi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6B1C069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Moliyaviy byudjet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 va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(k</w:t>
      </w:r>
      <w:r w:rsidRPr="00915099">
        <w:rPr>
          <w:rFonts w:ascii="Times New Roman" w:hAnsi="Times New Roman"/>
          <w:sz w:val="24"/>
          <w:szCs w:val="24"/>
          <w:lang w:val="uz-Cyrl-UZ"/>
        </w:rPr>
        <w:t>apital qo‘yilma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p</w:t>
      </w:r>
      <w:r w:rsidRPr="00915099">
        <w:rPr>
          <w:rFonts w:ascii="Times New Roman" w:hAnsi="Times New Roman"/>
          <w:sz w:val="24"/>
          <w:szCs w:val="24"/>
          <w:lang w:val="uz-Cyrl-UZ"/>
        </w:rPr>
        <w:t>ul mablag‘lari oqimi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ahvol hisoboti prognozi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75FE896B" w14:textId="77777777" w:rsidR="00915099" w:rsidRPr="00B50053" w:rsidRDefault="00915099" w:rsidP="00F30F96">
      <w:pPr>
        <w:pStyle w:val="a3"/>
        <w:numPr>
          <w:ilvl w:val="0"/>
          <w:numId w:val="7"/>
        </w:numPr>
        <w:spacing w:after="0" w:line="240" w:lineRule="auto"/>
        <w:ind w:right="43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Operasiyalar va xizmatlar bo’yicha tannarxni kalkulyasiya qilishning xususiyatlari.</w:t>
      </w:r>
    </w:p>
    <w:p w14:paraId="0B206CE4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(Moliyaviy byudjet).</w:t>
      </w:r>
    </w:p>
    <w:p w14:paraId="2EFC42C1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Operativ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byudjet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Sotuv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byudjeti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).</w:t>
      </w:r>
    </w:p>
    <w:p w14:paraId="06FEF80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Latn-UZ"/>
        </w:rPr>
      </w:pPr>
      <w:r w:rsidRPr="00915099">
        <w:rPr>
          <w:rFonts w:ascii="Times New Roman" w:hAnsi="Times New Roman"/>
          <w:b/>
          <w:sz w:val="24"/>
          <w:szCs w:val="24"/>
          <w:lang w:val="uz-Cyrl-UZ"/>
        </w:rPr>
        <w:t>Operativ byudjet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B50053">
        <w:rPr>
          <w:rFonts w:ascii="Times New Roman" w:hAnsi="Times New Roman"/>
          <w:b/>
          <w:sz w:val="24"/>
          <w:szCs w:val="24"/>
          <w:lang w:val="uz-Cyrl-UZ"/>
        </w:rPr>
        <w:t>va uning turlari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(s</w:t>
      </w:r>
      <w:r w:rsidRPr="00915099">
        <w:rPr>
          <w:rFonts w:ascii="Times New Roman" w:hAnsi="Times New Roman"/>
          <w:sz w:val="24"/>
          <w:szCs w:val="24"/>
          <w:lang w:val="uz-Cyrl-UZ"/>
        </w:rPr>
        <w:t>otuv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t</w:t>
      </w:r>
      <w:r w:rsidRPr="00915099">
        <w:rPr>
          <w:rFonts w:ascii="Times New Roman" w:hAnsi="Times New Roman"/>
          <w:sz w:val="24"/>
          <w:szCs w:val="24"/>
          <w:lang w:val="uz-Cyrl-UZ"/>
        </w:rPr>
        <w:t>ijorat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i</w:t>
      </w:r>
      <w:r w:rsidRPr="00915099">
        <w:rPr>
          <w:rFonts w:ascii="Times New Roman" w:hAnsi="Times New Roman"/>
          <w:sz w:val="24"/>
          <w:szCs w:val="24"/>
          <w:lang w:val="uz-Cyrl-UZ"/>
        </w:rPr>
        <w:t>shlab chiqarish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aterial, xom ashyo xaridi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ehnat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u</w:t>
      </w:r>
      <w:r w:rsidRPr="00915099">
        <w:rPr>
          <w:rFonts w:ascii="Times New Roman" w:hAnsi="Times New Roman"/>
          <w:sz w:val="24"/>
          <w:szCs w:val="24"/>
          <w:lang w:val="uz-Cyrl-UZ"/>
        </w:rPr>
        <w:t>mumishlab chiqarish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a’muriy-boshqaruv xarajatlari byudjeti</w:t>
      </w:r>
      <w:r w:rsidRPr="00B50053">
        <w:rPr>
          <w:rFonts w:ascii="Times New Roman" w:hAnsi="Times New Roman"/>
          <w:sz w:val="24"/>
          <w:szCs w:val="24"/>
          <w:lang w:val="uz-Cyrl-UZ"/>
        </w:rPr>
        <w:t>, m</w:t>
      </w:r>
      <w:r w:rsidRPr="00915099">
        <w:rPr>
          <w:rFonts w:ascii="Times New Roman" w:hAnsi="Times New Roman"/>
          <w:sz w:val="24"/>
          <w:szCs w:val="24"/>
          <w:lang w:val="uz-Cyrl-UZ"/>
        </w:rPr>
        <w:t>oliyaviy natijalarning rejalashtirilgan hisoboti</w:t>
      </w:r>
      <w:r w:rsidRPr="00B50053">
        <w:rPr>
          <w:rFonts w:ascii="Times New Roman" w:hAnsi="Times New Roman"/>
          <w:sz w:val="24"/>
          <w:szCs w:val="24"/>
          <w:lang w:val="uz-Cyrl-UZ"/>
        </w:rPr>
        <w:t>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2665CBE2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sz w:val="24"/>
          <w:szCs w:val="24"/>
          <w:lang w:val="uz-Cyrl-UZ"/>
        </w:rPr>
        <w:t>Qisqa muddatli qarorlarni qabul qilish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(Alternativ xarajatlar, Pullik xarajatlar, Sarflanib bo’lingan va shartli hisoblanadigan xarajatlar).</w:t>
      </w:r>
    </w:p>
    <w:p w14:paraId="6CC86E90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(Relevant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norelevant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0B14D489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lastRenderedPageBreak/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F30F96">
        <w:rPr>
          <w:rFonts w:ascii="Times New Roman" w:hAnsi="Times New Roman"/>
          <w:sz w:val="24"/>
          <w:szCs w:val="24"/>
          <w:lang w:val="uz-Latn-UZ"/>
        </w:rPr>
        <w:t>relevant, relevant bo’lmagan, alternativ</w:t>
      </w:r>
      <w:r w:rsidRPr="00F30F96">
        <w:rPr>
          <w:rFonts w:ascii="Times New Roman" w:hAnsi="Times New Roman"/>
          <w:sz w:val="24"/>
          <w:szCs w:val="24"/>
          <w:lang w:val="uz-Cyrl-UZ"/>
        </w:rPr>
        <w:t>)</w:t>
      </w:r>
    </w:p>
    <w:p w14:paraId="3009CA8B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Qisqa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muddatli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qarorlarni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qabul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b/>
          <w:sz w:val="24"/>
          <w:szCs w:val="24"/>
          <w:lang w:val="en-US"/>
        </w:rPr>
        <w:t>qilish</w:t>
      </w:r>
      <w:proofErr w:type="spellEnd"/>
      <w:r w:rsidRPr="00F30F96">
        <w:rPr>
          <w:rFonts w:ascii="Times New Roman" w:hAnsi="Times New Roman"/>
          <w:b/>
          <w:sz w:val="24"/>
          <w:szCs w:val="24"/>
          <w:lang w:val="en-US"/>
        </w:rPr>
        <w:t>.</w:t>
      </w:r>
      <w:r w:rsidRPr="00F30F9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Alternativ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Pullik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Sarflanib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bo’lingan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shartli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hisoblanadigan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30F96">
        <w:rPr>
          <w:rFonts w:ascii="Times New Roman" w:hAnsi="Times New Roman"/>
          <w:sz w:val="24"/>
          <w:szCs w:val="24"/>
          <w:lang w:val="en-US"/>
        </w:rPr>
        <w:t>xarajatlar</w:t>
      </w:r>
      <w:proofErr w:type="spellEnd"/>
      <w:r w:rsidRPr="00F30F96">
        <w:rPr>
          <w:rFonts w:ascii="Times New Roman" w:hAnsi="Times New Roman"/>
          <w:sz w:val="24"/>
          <w:szCs w:val="24"/>
          <w:lang w:val="en-US"/>
        </w:rPr>
        <w:t>)</w:t>
      </w:r>
      <w:r w:rsidRPr="00F30F96">
        <w:rPr>
          <w:rFonts w:ascii="Times New Roman" w:hAnsi="Times New Roman"/>
          <w:sz w:val="24"/>
          <w:szCs w:val="24"/>
          <w:lang w:val="uz-Cyrl-UZ"/>
        </w:rPr>
        <w:t>.</w:t>
      </w:r>
    </w:p>
    <w:p w14:paraId="32DC9C9D" w14:textId="77777777" w:rsidR="00915099" w:rsidRPr="00B50053" w:rsidRDefault="00915099" w:rsidP="00F30F96">
      <w:pPr>
        <w:pStyle w:val="a6"/>
        <w:numPr>
          <w:ilvl w:val="0"/>
          <w:numId w:val="7"/>
        </w:numPr>
        <w:ind w:right="43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Qo’shma mahsulot va ikkilamchi mahsulot tushunchasi</w:t>
      </w:r>
      <w:r w:rsidRPr="00B50053">
        <w:rPr>
          <w:rFonts w:ascii="Times New Roman" w:hAnsi="Times New Roman"/>
          <w:sz w:val="24"/>
          <w:szCs w:val="24"/>
          <w:lang w:val="uz-Cyrl-UZ"/>
        </w:rPr>
        <w:t>.</w:t>
      </w:r>
    </w:p>
    <w:p w14:paraId="0C0E2CD5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Rejalashtirishning maqsadi, vazifalari va bosqichlari</w:t>
      </w:r>
      <w:r w:rsidRPr="00B50053">
        <w:rPr>
          <w:rFonts w:ascii="Times New Roman" w:hAnsi="Times New Roman"/>
          <w:b/>
          <w:sz w:val="24"/>
          <w:szCs w:val="24"/>
          <w:lang w:val="uz-Latn-UZ"/>
        </w:rPr>
        <w:t>.</w:t>
      </w:r>
    </w:p>
    <w:p w14:paraId="7018596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 jarayonli kalkulyasiya qilishning xususiyatlari va qo’llanilishi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(ekvivalent birlik, jarayonlar, bosqichlari)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3AF83381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Tannarxning boshqa jarayonga o’tkazilishi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Boshlang’ich zahira, kirim qilingan birliklar, boshqa jarayonga o’tkazilgan birliklar, oxirgi zahira)</w:t>
      </w:r>
      <w:r w:rsidRPr="00B50053">
        <w:rPr>
          <w:rFonts w:ascii="Times New Roman" w:hAnsi="Times New Roman"/>
          <w:b/>
          <w:i/>
          <w:sz w:val="24"/>
          <w:szCs w:val="24"/>
          <w:lang w:val="uz-Cyrl-UZ"/>
        </w:rPr>
        <w:t>.</w:t>
      </w:r>
    </w:p>
    <w:p w14:paraId="731F772E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TMZlar tannarxini aniqlash, hisobga olish tizimlari va baholash usullari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>uzluksiz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va </w:t>
      </w:r>
      <w:r w:rsidRPr="00B50053">
        <w:rPr>
          <w:rFonts w:ascii="Times New Roman" w:hAnsi="Times New Roman"/>
          <w:i/>
          <w:sz w:val="24"/>
          <w:szCs w:val="24"/>
          <w:lang w:val="uz-Cyrl-UZ"/>
        </w:rPr>
        <w:t xml:space="preserve">davriy tizimlari, </w:t>
      </w:r>
      <w:r w:rsidRPr="00B50053">
        <w:rPr>
          <w:rFonts w:ascii="Times New Roman" w:hAnsi="Times New Roman"/>
          <w:sz w:val="24"/>
          <w:szCs w:val="24"/>
          <w:lang w:val="uz-Cyrl-UZ"/>
        </w:rPr>
        <w:t>FIFO, LIFO, AVEKO)</w:t>
      </w:r>
      <w:r w:rsidRPr="00B50053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4ABA7DC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To‘liq va o‘zgaruvchan xarajatlarni hisobga olish usullari, ularning moliyaviy natijalarga ta’siri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(to‘g‘ri moddiy xarajatlar, to‘g‘ri mehnat (ish) haqi xarajatlari, o‘zgaruvchan umumishlab chiqarish xarajatlari, to‘liq xarajatlarni hisoblash usuli)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10099AD0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Ustama xarajatlarning mazmuni va tarkibi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915099">
        <w:rPr>
          <w:rFonts w:ascii="Times New Roman" w:hAnsi="Times New Roman"/>
          <w:sz w:val="24"/>
          <w:szCs w:val="24"/>
          <w:lang w:val="uz-Cyrl-UZ"/>
        </w:rPr>
        <w:t>to’g’ridan to’g’ri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915099">
        <w:rPr>
          <w:rFonts w:ascii="Times New Roman" w:hAnsi="Times New Roman"/>
          <w:sz w:val="24"/>
          <w:szCs w:val="24"/>
          <w:lang w:val="uz-Cyrl-UZ"/>
        </w:rPr>
        <w:t>bilvosita</w:t>
      </w:r>
      <w:r w:rsidRPr="00B50053">
        <w:rPr>
          <w:rFonts w:ascii="Times New Roman" w:hAnsi="Times New Roman"/>
          <w:sz w:val="24"/>
          <w:szCs w:val="24"/>
          <w:lang w:val="uz-Cyrl-UZ"/>
        </w:rPr>
        <w:t>, umumishlab chiqarish, yordamchi ishlab chiqarish xarajatlari)</w:t>
      </w:r>
      <w:r w:rsidRPr="00915099">
        <w:rPr>
          <w:rFonts w:ascii="Times New Roman" w:hAnsi="Times New Roman"/>
          <w:sz w:val="24"/>
          <w:szCs w:val="24"/>
          <w:lang w:val="uz-Cyrl-UZ"/>
        </w:rPr>
        <w:t>.</w:t>
      </w:r>
    </w:p>
    <w:p w14:paraId="411D735F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 mohiyati va uning hisobi vazifalari, xarajatlarni turli belgilar bo’yicha tasniflanishi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(Bevosita (to’g’ridan to’g’ri) va bilvosita (to’g’ridan-to’g’ri bo’lmagan) xarajatlar, o’rtacha va umumiy xarajatlar, mahsulot tannarxi va davr xarajatlari, o’zgaruvchan va doimiy xarajatlar, relevant va norelevant xarajatlar).</w:t>
      </w:r>
    </w:p>
    <w:p w14:paraId="79C361D3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>Xarajatlarni taqsimlash tartibi va usuli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(xarajatlarni taqsimlash, xarajatlar obyekti, xarajatlar markazi, normativ xarajatlar, o‘zgaruvchan xarajatlar)</w:t>
      </w:r>
      <w:r w:rsidRPr="00B50053">
        <w:rPr>
          <w:rFonts w:ascii="Times New Roman" w:hAnsi="Times New Roman"/>
          <w:sz w:val="24"/>
          <w:szCs w:val="24"/>
          <w:lang w:val="uz-Latn-UZ"/>
        </w:rPr>
        <w:t>.</w:t>
      </w:r>
    </w:p>
    <w:p w14:paraId="2212EBCD" w14:textId="77777777" w:rsidR="00915099" w:rsidRPr="00F30F96" w:rsidRDefault="00915099" w:rsidP="00F30F96">
      <w:pPr>
        <w:pStyle w:val="a3"/>
        <w:numPr>
          <w:ilvl w:val="0"/>
          <w:numId w:val="7"/>
        </w:numPr>
        <w:spacing w:after="0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tannarxni kalkulyatsiya qilish bilan tannarxni  o‘zgaruvchan xarajatlar bo‘yicha kalkulyatsiya qilish o‘rtasidagi tafovutni ko‘rsatish.</w:t>
      </w:r>
    </w:p>
    <w:p w14:paraId="54DDEE60" w14:textId="77777777" w:rsidR="00915099" w:rsidRPr="00F30F96" w:rsidRDefault="00915099" w:rsidP="00F30F9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uz-Cyrl-UZ"/>
        </w:rPr>
      </w:pPr>
      <w:r w:rsidRPr="00F30F96">
        <w:rPr>
          <w:rFonts w:ascii="Times New Roman" w:hAnsi="Times New Roman"/>
          <w:b/>
          <w:bCs/>
          <w:sz w:val="24"/>
          <w:szCs w:val="24"/>
          <w:lang w:val="uz-Cyrl-UZ"/>
        </w:rPr>
        <w:t>Xarajatlarni to‘la taqsimlab va o‘zgaruvchan xarajatlar bo‘yicha tannarxni kalkulyatsiya qilishni quvvatlovchi dalillar.</w:t>
      </w:r>
      <w:r w:rsidRPr="00F30F96">
        <w:rPr>
          <w:rFonts w:ascii="Times New Roman" w:hAnsi="Times New Roman"/>
          <w:sz w:val="24"/>
          <w:szCs w:val="24"/>
          <w:lang w:val="uz-Cyrl-UZ"/>
        </w:rPr>
        <w:t xml:space="preserve"> (Absorption costing)</w:t>
      </w:r>
    </w:p>
    <w:p w14:paraId="4D04FD42" w14:textId="77777777" w:rsidR="00915099" w:rsidRPr="00B50053" w:rsidRDefault="00915099" w:rsidP="00F30F96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  <w:lang w:val="uz-Cyrl-UZ"/>
        </w:rPr>
      </w:pPr>
      <w:r w:rsidRPr="00B50053">
        <w:rPr>
          <w:rFonts w:ascii="Times New Roman" w:hAnsi="Times New Roman"/>
          <w:b/>
          <w:sz w:val="24"/>
          <w:szCs w:val="24"/>
          <w:lang w:val="uz-Cyrl-UZ"/>
        </w:rPr>
        <w:t xml:space="preserve">Xo‘jalik yurituvchi subyekt byudjeti mohiyati va fuksiyalari </w:t>
      </w:r>
      <w:r w:rsidRPr="00B50053">
        <w:rPr>
          <w:rFonts w:ascii="Times New Roman" w:hAnsi="Times New Roman"/>
          <w:sz w:val="24"/>
          <w:szCs w:val="24"/>
          <w:lang w:val="uz-Cyrl-UZ"/>
        </w:rPr>
        <w:t xml:space="preserve"> (rejalashtirish, muvofiqlashtirish, rag‘batlantirish, nazorat, baholash).</w:t>
      </w:r>
    </w:p>
    <w:p w14:paraId="1E4E6D98" w14:textId="3E456F1F" w:rsidR="00915099" w:rsidRPr="00B50053" w:rsidRDefault="00915099" w:rsidP="00A9694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  <w:lang w:val="uz-Cyrl-UZ"/>
        </w:rPr>
      </w:pPr>
    </w:p>
    <w:sectPr w:rsidR="00915099" w:rsidRPr="00B50053" w:rsidSect="00A9694F">
      <w:pgSz w:w="16838" w:h="11906" w:orient="landscape"/>
      <w:pgMar w:top="426" w:right="28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RO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4E4D"/>
    <w:multiLevelType w:val="hybridMultilevel"/>
    <w:tmpl w:val="6DA4C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8FD"/>
    <w:multiLevelType w:val="hybridMultilevel"/>
    <w:tmpl w:val="1966C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625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0C30"/>
    <w:multiLevelType w:val="hybridMultilevel"/>
    <w:tmpl w:val="67C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16668"/>
    <w:multiLevelType w:val="hybridMultilevel"/>
    <w:tmpl w:val="EF28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52089"/>
    <w:multiLevelType w:val="hybridMultilevel"/>
    <w:tmpl w:val="CC20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52D9C"/>
    <w:multiLevelType w:val="hybridMultilevel"/>
    <w:tmpl w:val="081C8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2298594">
    <w:abstractNumId w:val="5"/>
  </w:num>
  <w:num w:numId="2" w16cid:durableId="766848626">
    <w:abstractNumId w:val="0"/>
  </w:num>
  <w:num w:numId="3" w16cid:durableId="179899408">
    <w:abstractNumId w:val="4"/>
  </w:num>
  <w:num w:numId="4" w16cid:durableId="17582182">
    <w:abstractNumId w:val="3"/>
  </w:num>
  <w:num w:numId="5" w16cid:durableId="1032455738">
    <w:abstractNumId w:val="6"/>
  </w:num>
  <w:num w:numId="6" w16cid:durableId="406617588">
    <w:abstractNumId w:val="2"/>
  </w:num>
  <w:num w:numId="7" w16cid:durableId="37855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4F"/>
    <w:rsid w:val="003274DD"/>
    <w:rsid w:val="003C44F9"/>
    <w:rsid w:val="00793585"/>
    <w:rsid w:val="007F521B"/>
    <w:rsid w:val="008B6E29"/>
    <w:rsid w:val="00915099"/>
    <w:rsid w:val="00A9694F"/>
    <w:rsid w:val="00B439E9"/>
    <w:rsid w:val="00B50053"/>
    <w:rsid w:val="00F3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1497"/>
  <w15:chartTrackingRefBased/>
  <w15:docId w15:val="{391BBA45-6B6D-49F3-80E7-4D71151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94F"/>
    <w:pPr>
      <w:ind w:left="720"/>
      <w:contextualSpacing/>
    </w:pPr>
  </w:style>
  <w:style w:type="paragraph" w:styleId="2">
    <w:name w:val="Body Text Indent 2"/>
    <w:basedOn w:val="a"/>
    <w:link w:val="20"/>
    <w:rsid w:val="00A9694F"/>
    <w:pPr>
      <w:spacing w:after="0" w:line="240" w:lineRule="auto"/>
      <w:ind w:right="43" w:firstLine="540"/>
      <w:jc w:val="both"/>
    </w:pPr>
    <w:rPr>
      <w:rFonts w:ascii="Times New Roman IRO" w:eastAsia="Times New Roman" w:hAnsi="Times New Roman IRO"/>
      <w:sz w:val="24"/>
      <w:szCs w:val="20"/>
      <w:lang w:val="en-GB" w:eastAsia="ru-RU"/>
    </w:rPr>
  </w:style>
  <w:style w:type="character" w:customStyle="1" w:styleId="20">
    <w:name w:val="Основной текст с отступом 2 Знак"/>
    <w:basedOn w:val="a0"/>
    <w:link w:val="2"/>
    <w:rsid w:val="00A9694F"/>
    <w:rPr>
      <w:rFonts w:ascii="Times New Roman IRO" w:eastAsia="Times New Roman" w:hAnsi="Times New Roman IRO" w:cs="Times New Roman"/>
      <w:kern w:val="0"/>
      <w:sz w:val="24"/>
      <w:szCs w:val="20"/>
      <w:lang w:val="en-GB" w:eastAsia="ru-RU"/>
      <w14:ligatures w14:val="none"/>
    </w:rPr>
  </w:style>
  <w:style w:type="paragraph" w:styleId="a4">
    <w:name w:val="Body Text Indent"/>
    <w:basedOn w:val="a"/>
    <w:link w:val="a5"/>
    <w:uiPriority w:val="99"/>
    <w:unhideWhenUsed/>
    <w:rsid w:val="00A9694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A9694F"/>
    <w:rPr>
      <w:rFonts w:ascii="Calibri" w:eastAsia="Calibri" w:hAnsi="Calibri" w:cs="Times New Roman"/>
      <w:kern w:val="0"/>
      <w14:ligatures w14:val="none"/>
    </w:rPr>
  </w:style>
  <w:style w:type="paragraph" w:styleId="a6">
    <w:name w:val="header"/>
    <w:basedOn w:val="a"/>
    <w:link w:val="a7"/>
    <w:unhideWhenUsed/>
    <w:rsid w:val="00A9694F"/>
    <w:pPr>
      <w:tabs>
        <w:tab w:val="center" w:pos="4153"/>
        <w:tab w:val="right" w:pos="8306"/>
      </w:tabs>
      <w:spacing w:after="0" w:line="240" w:lineRule="auto"/>
    </w:pPr>
    <w:rPr>
      <w:rFonts w:ascii="Times New Roman IRO" w:eastAsia="Times New Roman" w:hAnsi="Times New Roman IRO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9694F"/>
    <w:rPr>
      <w:rFonts w:ascii="Times New Roman IRO" w:eastAsia="Times New Roman" w:hAnsi="Times New Roman IRO" w:cs="Times New Roman"/>
      <w:kern w:val="0"/>
      <w:sz w:val="26"/>
      <w:szCs w:val="20"/>
      <w:lang w:eastAsia="ru-RU"/>
      <w14:ligatures w14:val="none"/>
    </w:rPr>
  </w:style>
  <w:style w:type="paragraph" w:styleId="a8">
    <w:name w:val="Body Text"/>
    <w:basedOn w:val="a"/>
    <w:link w:val="a9"/>
    <w:uiPriority w:val="99"/>
    <w:semiHidden/>
    <w:unhideWhenUsed/>
    <w:rsid w:val="00A9694F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A9694F"/>
    <w:rPr>
      <w:rFonts w:ascii="Times New Roman" w:eastAsia="Times New Roman" w:hAnsi="Times New Roman" w:cs="Times New Roman"/>
      <w:kern w:val="0"/>
      <w:sz w:val="20"/>
      <w:szCs w:val="20"/>
      <w:lang w:val="en-GB" w:eastAsia="ru-RU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A9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694F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E-MAX PC Shop</cp:lastModifiedBy>
  <cp:revision>7</cp:revision>
  <dcterms:created xsi:type="dcterms:W3CDTF">2023-12-03T13:20:00Z</dcterms:created>
  <dcterms:modified xsi:type="dcterms:W3CDTF">2023-12-03T16:01:00Z</dcterms:modified>
</cp:coreProperties>
</file>