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3176" w14:textId="77777777" w:rsidR="00915099" w:rsidRPr="00B50053" w:rsidRDefault="00915099">
      <w:pPr>
        <w:rPr>
          <w:sz w:val="24"/>
          <w:szCs w:val="24"/>
        </w:rPr>
      </w:pPr>
    </w:p>
    <w:p w14:paraId="630E3111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“Standard cost”ning mohiyati, ahamiyati va turlari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 xml:space="preserve"> (s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tandard  cost tizimida farqlanishlar tahlili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)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368B708" w14:textId="4A0FE48C" w:rsidR="00915099" w:rsidRPr="00B50053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“Tannarx - mahsulot hajmi - foyda”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(Cost-Volume-Profit (CVP)</w:t>
      </w:r>
      <w:r w:rsidR="003274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usulining mohiyati va qo’llanilishi. </w:t>
      </w:r>
    </w:p>
    <w:p w14:paraId="7FD9871E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Asosiy byudjetni tuzish.</w:t>
      </w:r>
    </w:p>
    <w:p w14:paraId="3CB3398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Asosiy smetaga ta’rif berish. Byudjetni (smetani) rejalashtirish.</w:t>
      </w:r>
    </w:p>
    <w:p w14:paraId="166C4679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Axborotdan foydalanuvchilar nuqtai-nazaridan boshqaruv hisobi va moliyaviy hisob o‘rtasidagi farqlarni izohlab bering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Ma’lumotlardan foydalanuvchilarga, hisob ma’lumotlarini aks ettirish usuliga, tanlash erkinligiga, o‘lchov birligiga, buxgalteriya hisobi obyektlariga, hisobotning tuzilish vaqtiga, ishonchlilik darajasiga va buxgalteriya hisobini yuritish majburiyatiga qarab)</w:t>
      </w:r>
      <w:r w:rsidRPr="00B50053">
        <w:rPr>
          <w:rFonts w:ascii="Times New Roman" w:hAnsi="Times New Roman"/>
          <w:i/>
          <w:sz w:val="24"/>
          <w:szCs w:val="24"/>
          <w:lang w:val="uz-Latn-UZ"/>
        </w:rPr>
        <w:t>.</w:t>
      </w:r>
    </w:p>
    <w:p w14:paraId="5AEE7B56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Bahoni shakllantirish bo‘yicha qaror qabul qilish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(biznes tarkibini o‘zgartirish (restruktrizatsiya) bo‘yicha qaror qabul qilish, Sotib olish kerakmi? yoki o‘zimiz ishlab chiqarishimiz ma’qulmi? qarorini qabul qilishga relevantli yondashish).</w:t>
      </w:r>
    </w:p>
    <w:p w14:paraId="00BEC3E5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Biznes tarkibini o‘zgartirish (restrukturizatsiya) qilish bo‘yicha qaror qabul qilish.</w:t>
      </w:r>
    </w:p>
    <w:p w14:paraId="5C40DB6F" w14:textId="77777777" w:rsidR="00915099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Latn-UZ"/>
        </w:rPr>
      </w:pPr>
      <w:r w:rsidRPr="00B50053">
        <w:rPr>
          <w:rFonts w:ascii="Times New Roman" w:hAnsi="Times New Roman"/>
          <w:b/>
          <w:sz w:val="24"/>
          <w:szCs w:val="24"/>
          <w:lang w:val="en-US"/>
        </w:rPr>
        <w:t>Boshqaruv hisobini tashkil etish tizimlari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(a</w:t>
      </w:r>
      <w:r w:rsidRPr="00B50053">
        <w:rPr>
          <w:rFonts w:ascii="Times New Roman" w:hAnsi="Times New Roman"/>
          <w:sz w:val="24"/>
          <w:szCs w:val="24"/>
          <w:lang w:val="en-US"/>
        </w:rPr>
        <w:t>xborotlarni qamrash kengligi</w:t>
      </w:r>
      <w:r w:rsidRPr="00B50053">
        <w:rPr>
          <w:rFonts w:ascii="Times New Roman" w:hAnsi="Times New Roman"/>
          <w:sz w:val="24"/>
          <w:szCs w:val="24"/>
          <w:lang w:val="uz-Cyrl-UZ"/>
        </w:rPr>
        <w:t>, o</w:t>
      </w:r>
      <w:r w:rsidRPr="00B50053">
        <w:rPr>
          <w:rFonts w:ascii="Times New Roman" w:hAnsi="Times New Roman"/>
          <w:sz w:val="24"/>
          <w:szCs w:val="24"/>
          <w:lang w:val="en-US"/>
        </w:rPr>
        <w:t>perativ (tezkor)lik</w:t>
      </w:r>
      <w:r w:rsidRPr="00B50053">
        <w:rPr>
          <w:rFonts w:ascii="Times New Roman" w:hAnsi="Times New Roman"/>
          <w:sz w:val="24"/>
          <w:szCs w:val="24"/>
          <w:lang w:val="uz-Cyrl-UZ"/>
        </w:rPr>
        <w:t>, t</w:t>
      </w:r>
      <w:r w:rsidRPr="00B50053">
        <w:rPr>
          <w:rFonts w:ascii="Times New Roman" w:hAnsi="Times New Roman"/>
          <w:sz w:val="24"/>
          <w:szCs w:val="24"/>
          <w:lang w:val="en-US"/>
        </w:rPr>
        <w:t>annarxga kiritishning to‘liqligi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</w:p>
    <w:p w14:paraId="3F2F1B29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korxona menejment tizimida tutgan o’rni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(Trishureship kapital sarmoyasi, Kontrollyor,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Staf vakolati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4B131271" w14:textId="77777777" w:rsidR="00915099" w:rsidRPr="008B6E29" w:rsidRDefault="00915099" w:rsidP="00F30F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mohiyati  va uning elementlari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(asosiy vazifalari, zaruriyati, tizimi)</w:t>
      </w:r>
      <w:r w:rsidRPr="008B6E29">
        <w:rPr>
          <w:rFonts w:ascii="Times New Roman" w:hAnsi="Times New Roman"/>
          <w:sz w:val="24"/>
          <w:szCs w:val="24"/>
          <w:lang w:val="uz-Cyrl-UZ"/>
        </w:rPr>
        <w:t>.</w:t>
      </w:r>
    </w:p>
    <w:p w14:paraId="5644175E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moliyaviy hisob bilan aloqalari va farqli jihatlari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bCs/>
          <w:sz w:val="24"/>
          <w:szCs w:val="24"/>
          <w:lang w:val="uz-Cyrl-UZ"/>
        </w:rPr>
        <w:t>Boshqaruv va moliyaviy hisobining hisobot davriyligi, hisobot obyekti, konsolidasiyasi, tamoyil va qoidalarga tayanishidagi farqlari)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1F50A1C7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Boshqaruv qarorlarini qabul qilish modellari. </w:t>
      </w:r>
      <w:r w:rsidRPr="00B50053">
        <w:rPr>
          <w:rFonts w:ascii="Times New Roman" w:hAnsi="Times New Roman"/>
          <w:sz w:val="24"/>
          <w:szCs w:val="24"/>
          <w:lang w:val="uz-Cyrl-UZ"/>
        </w:rPr>
        <w:t>(</w:t>
      </w:r>
      <w:r w:rsidRPr="00B50053">
        <w:rPr>
          <w:rFonts w:ascii="Times New Roman" w:hAnsi="Times New Roman"/>
          <w:sz w:val="24"/>
          <w:szCs w:val="24"/>
          <w:lang w:val="en-US"/>
        </w:rPr>
        <w:t>alternativ xarajatlar, o‘zgaruvchan ko‘rsatkichlar, parametrlar (o‘zgarmaydigan) ko‘rsatkichlar, qaror natijasini tahlil qilish, sonli va sifat omillari).</w:t>
      </w:r>
    </w:p>
    <w:p w14:paraId="5F0332A8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Boshqaruv qarorlarini qabul qilish.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(Ishlab chiqarish zararsizligini tahlil etish).</w:t>
      </w:r>
    </w:p>
    <w:p w14:paraId="2765F1D5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Buxgalteriya hisobining Respublikamizda rivojlanish yo‘nalishlari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(Moliyaviy hisob, boshqaruv hisobi).</w:t>
      </w:r>
    </w:p>
    <w:p w14:paraId="1B97363F" w14:textId="5AC2E0BA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Buyurtmali kalkulyasiyaning xususiyatlari va muqobil yondashuvlari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(muqobillik turlari, boshqa kalkulyasiyalardan farqi)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1308BF4B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Chetlanishlar hisobi – xarajatlarni nazorat qilishdagi muhim vosita (</w:t>
      </w:r>
      <w:r w:rsidRPr="00B50053">
        <w:rPr>
          <w:rFonts w:ascii="Times New Roman" w:hAnsi="Times New Roman"/>
          <w:sz w:val="24"/>
          <w:szCs w:val="24"/>
          <w:lang w:val="uz-Cyrl-UZ"/>
        </w:rPr>
        <w:t>to‘g‘ri materiallar xarajatlaridagi chetlanishlar, to‘g‘ri mehnat xarajatlaridagi chetlanishlar, umumishlab chiqarish xarajatlaridagi chetlanishlar)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6A4FDB60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Contribution Approach (Kontributsiya yondashuvi) va Absorption costing (yoki xarajatlarni to’liq taqsimlash) bo’yicha mahsulot tannarxi umumiy tushunchasi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(o’zgaruvchan xarajat, doimiy xarajat, marjinal daromad)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38FFAB34" w14:textId="44E207A8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Funksional smetalarni tuzish.</w:t>
      </w:r>
    </w:p>
    <w:p w14:paraId="4357B498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Ichki segmentar hisoboti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(T</w:t>
      </w:r>
      <w:r w:rsidRPr="00F30F96">
        <w:rPr>
          <w:rFonts w:ascii="Times New Roman" w:hAnsi="Times New Roman"/>
          <w:sz w:val="24"/>
          <w:szCs w:val="24"/>
          <w:lang w:val="uz-Cyrl-UZ"/>
        </w:rPr>
        <w:t>uzilishi shartlari va tamoyillari</w:t>
      </w:r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0CC2B207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Ichki segmentar hisobotni tuzilishi shartlari va tamoyillari.</w:t>
      </w:r>
    </w:p>
    <w:p w14:paraId="0BAB7E48" w14:textId="77777777" w:rsidR="00915099" w:rsidRPr="00915099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15099">
        <w:rPr>
          <w:rFonts w:ascii="Times New Roman" w:hAnsi="Times New Roman"/>
          <w:b/>
          <w:bCs/>
          <w:sz w:val="24"/>
          <w:szCs w:val="24"/>
          <w:lang w:val="uz-Cyrl-UZ"/>
        </w:rPr>
        <w:t>Ikkilamchi mahsulotlar  hisobi.</w:t>
      </w:r>
    </w:p>
    <w:p w14:paraId="390996F4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Ishlab chiqarish jarayonida tannarxning o’zgarishi: o’rtacha salmoqli va FIFO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(mahsulot birligi, qo’llanishi).</w:t>
      </w:r>
    </w:p>
    <w:p w14:paraId="15A6A44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(Qo‘shimcha mahsulot hisobi).</w:t>
      </w:r>
    </w:p>
    <w:p w14:paraId="647F3234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(Sof sotish qiymati usuli, sotishga asoslangan usul).</w:t>
      </w:r>
    </w:p>
    <w:p w14:paraId="226F0F16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(Yalpi foyda doimiy ulushi usuli, natural ko’rsatkichli usul).</w:t>
      </w:r>
    </w:p>
    <w:p w14:paraId="0BBD0CDA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yoki qo‘shimcha ishlab chiqarish xarajatlari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(Xarajatlarni taqsimlash usullari).</w:t>
      </w:r>
    </w:p>
    <w:p w14:paraId="6D65C77C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yoki qo’shimcha ishlab chiqarish xarajatlari taqsimlash usullari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(sof sotish qiymati usuli, yalpi foyda doimiy ulushi usuli).</w:t>
      </w:r>
    </w:p>
    <w:p w14:paraId="23F29212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Kontributsiya yondashuvlarining mahsulot tannarxida qo’llanilishi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(Variable Costing tizimi).</w:t>
      </w:r>
    </w:p>
    <w:p w14:paraId="785E0039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Mahsulot tannarxi va davr (operasion) xarajatlari. O’zgaruvchan va doimiy xarajatlar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Tannarx drayveri, Yarimdoimiy xarajatlar, Relevant diapazon)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0A41B5E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Mahsulot tannarxini kalkulyasiya qilish tizimlari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(buyurtmali kalkulyasiya, jarayonli kalkulyasiya)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48ED5F23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lastRenderedPageBreak/>
        <w:t>Mahsulot tannarxini operasiyali kalkulyasiya qilish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04C9F11D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Maqsadli kalkulyasiyaning mohiyati va qo’llanilishi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1F2049AC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Materiallar nazorati prosedurasi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to’g’ri materiallar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bilvosita materiallar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, zahiralar kartochka registri, zahiralarning ombor registri)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6C8807B7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Me’yoriy (normativ) xarajatlar hisobi va «standart-kost» tizimi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(ideal (nazariy) me’yor, asosiy (birlamchi, bazaviy) me’yor, real me’yorlar).</w:t>
      </w:r>
    </w:p>
    <w:p w14:paraId="5566AB4A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Mehnat unumdorligini hisoblash va uning tahlili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Normativ soat</w:t>
      </w:r>
      <w:r w:rsidRPr="00B50053">
        <w:rPr>
          <w:rFonts w:ascii="Times New Roman" w:hAnsi="Times New Roman"/>
          <w:b/>
          <w:i/>
          <w:sz w:val="24"/>
          <w:szCs w:val="24"/>
          <w:lang w:val="uz-Cyrl-UZ"/>
        </w:rPr>
        <w:t xml:space="preserve">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ish vaqtidan tashqari ish, turib qolishlar vaqti, unumdorlik ko’rsatkichlari)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39EF94AA" w14:textId="77777777" w:rsidR="00915099" w:rsidRPr="00915099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Mehnatga haq to’lashning turlari va hisoblanishi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o’g’ridan-to’g’ri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mehnat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 haqi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,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b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ilvosita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mehnat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 xml:space="preserve"> haqi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, v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aqtbay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 tizimi, ishbay tizimi, k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ombinasiyalashgan ish haqi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mukofat tizimi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)</w:t>
      </w:r>
      <w:r w:rsidRPr="00915099">
        <w:rPr>
          <w:rFonts w:ascii="Times New Roman" w:hAnsi="Times New Roman"/>
          <w:i/>
          <w:sz w:val="24"/>
          <w:szCs w:val="24"/>
          <w:lang w:val="uz-Cyrl-UZ"/>
        </w:rPr>
        <w:t>.</w:t>
      </w:r>
    </w:p>
    <w:p w14:paraId="6B1C0695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915099">
        <w:rPr>
          <w:rFonts w:ascii="Times New Roman" w:hAnsi="Times New Roman"/>
          <w:b/>
          <w:sz w:val="24"/>
          <w:szCs w:val="24"/>
          <w:lang w:val="uz-Cyrl-UZ"/>
        </w:rPr>
        <w:t>Moliyaviy byudjet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 xml:space="preserve"> va turlari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(k</w:t>
      </w:r>
      <w:r w:rsidRPr="00915099">
        <w:rPr>
          <w:rFonts w:ascii="Times New Roman" w:hAnsi="Times New Roman"/>
          <w:sz w:val="24"/>
          <w:szCs w:val="24"/>
          <w:lang w:val="uz-Cyrl-UZ"/>
        </w:rPr>
        <w:t>apital qo‘yilma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p</w:t>
      </w:r>
      <w:r w:rsidRPr="00915099">
        <w:rPr>
          <w:rFonts w:ascii="Times New Roman" w:hAnsi="Times New Roman"/>
          <w:sz w:val="24"/>
          <w:szCs w:val="24"/>
          <w:lang w:val="uz-Cyrl-UZ"/>
        </w:rPr>
        <w:t>ul mablag‘lari oqimi prognozi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oliyaviy ahvol hisoboti prognozi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75FE896B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Operasiyalar va xizmatlar bo’yicha tannarxni kalkulyasiya qilishning xususiyatlari.</w:t>
      </w:r>
    </w:p>
    <w:p w14:paraId="0B206CE4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Operativ byudjet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(Moliyaviy byudjet).</w:t>
      </w:r>
    </w:p>
    <w:p w14:paraId="2EFC42C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Operativ byudjet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(Sotuv byudjeti).</w:t>
      </w:r>
    </w:p>
    <w:p w14:paraId="06FEF803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Latn-UZ"/>
        </w:rPr>
      </w:pPr>
      <w:r w:rsidRPr="00915099">
        <w:rPr>
          <w:rFonts w:ascii="Times New Roman" w:hAnsi="Times New Roman"/>
          <w:b/>
          <w:sz w:val="24"/>
          <w:szCs w:val="24"/>
          <w:lang w:val="uz-Cyrl-UZ"/>
        </w:rPr>
        <w:t>Operativ byudjet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>va uning turlari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(s</w:t>
      </w:r>
      <w:r w:rsidRPr="00915099">
        <w:rPr>
          <w:rFonts w:ascii="Times New Roman" w:hAnsi="Times New Roman"/>
          <w:sz w:val="24"/>
          <w:szCs w:val="24"/>
          <w:lang w:val="uz-Cyrl-UZ"/>
        </w:rPr>
        <w:t>otuv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t</w:t>
      </w:r>
      <w:r w:rsidRPr="00915099">
        <w:rPr>
          <w:rFonts w:ascii="Times New Roman" w:hAnsi="Times New Roman"/>
          <w:sz w:val="24"/>
          <w:szCs w:val="24"/>
          <w:lang w:val="uz-Cyrl-UZ"/>
        </w:rPr>
        <w:t>ijorat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i</w:t>
      </w:r>
      <w:r w:rsidRPr="00915099">
        <w:rPr>
          <w:rFonts w:ascii="Times New Roman" w:hAnsi="Times New Roman"/>
          <w:sz w:val="24"/>
          <w:szCs w:val="24"/>
          <w:lang w:val="uz-Cyrl-UZ"/>
        </w:rPr>
        <w:t>shlab chiqarish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aterial, xom ashyo xaridi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ehnat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u</w:t>
      </w:r>
      <w:r w:rsidRPr="00915099">
        <w:rPr>
          <w:rFonts w:ascii="Times New Roman" w:hAnsi="Times New Roman"/>
          <w:sz w:val="24"/>
          <w:szCs w:val="24"/>
          <w:lang w:val="uz-Cyrl-UZ"/>
        </w:rPr>
        <w:t>mumishlab chiqarish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a’muriy-boshqaruv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oliyaviy natijalarning rejalashtirilgan hisoboti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2665CBE2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Qisqa muddatli qarorlarni qabul qilish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(Alternativ xarajatlar, Pullik xarajatlar, Sarflanib bo’lingan va shartli hisoblanadigan xarajatlar).</w:t>
      </w:r>
    </w:p>
    <w:p w14:paraId="6CC86E90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Qisqa muddatli qarorlarni qabul qilish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(Relevant va norelevant xarajatlar)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0B14D489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Qisqa muddatli qarorlarni qabul qilish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F30F96">
        <w:rPr>
          <w:rFonts w:ascii="Times New Roman" w:hAnsi="Times New Roman"/>
          <w:sz w:val="24"/>
          <w:szCs w:val="24"/>
          <w:lang w:val="uz-Latn-UZ"/>
        </w:rPr>
        <w:t>relevant, relevant bo’lmagan, alternativ</w:t>
      </w:r>
      <w:r w:rsidRPr="00F30F96">
        <w:rPr>
          <w:rFonts w:ascii="Times New Roman" w:hAnsi="Times New Roman"/>
          <w:sz w:val="24"/>
          <w:szCs w:val="24"/>
          <w:lang w:val="uz-Cyrl-UZ"/>
        </w:rPr>
        <w:t>)</w:t>
      </w:r>
    </w:p>
    <w:p w14:paraId="3009CA8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Qisqa muddatli qarorlarni qabul qilish.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(Alternativ xarajatlar, Pullik xarajatlar, Sarflanib bo’lingan va shartli hisoblanadigan xarajatlar)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648BBCF4" w14:textId="77777777" w:rsidR="00915099" w:rsidRPr="00B50053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Qo’shma mahsulot tannarxini baholash va tannarx illyustrasiyasi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32DC9C9D" w14:textId="77777777" w:rsidR="00915099" w:rsidRPr="00B50053" w:rsidRDefault="00915099" w:rsidP="00F30F96">
      <w:pPr>
        <w:pStyle w:val="a6"/>
        <w:numPr>
          <w:ilvl w:val="0"/>
          <w:numId w:val="7"/>
        </w:numPr>
        <w:ind w:right="43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Qo’shma mahsulot va ikkilamchi mahsulot tushunchasi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0C0E2CD5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Rejalashtirishning maqsadi, vazifalari va bosqichlari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5B8A9432" w14:textId="77777777" w:rsidR="00915099" w:rsidRPr="00B50053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Relevant diapazonda opera</w:t>
      </w:r>
      <w:r w:rsidRPr="00B50053">
        <w:rPr>
          <w:rFonts w:ascii="Times New Roman" w:hAnsi="Times New Roman"/>
          <w:b/>
          <w:sz w:val="24"/>
          <w:szCs w:val="24"/>
          <w:lang w:val="en-US"/>
        </w:rPr>
        <w:t>t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>sion richag va xavfsizlik marjasi.</w:t>
      </w:r>
    </w:p>
    <w:p w14:paraId="43019371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Segmental hisobotlarda kontributsiya yondashuvlari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(qismlar (bo’limlar) bo’yicha kontributsiya hisobotlari, mahsulot bo’yicha kontributsiya hisobotlari, sotish regionlari bo’yicha kontributsiya hisobotlari,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kontributsiya marjini, qismlar kontributsiyasi).</w:t>
      </w:r>
    </w:p>
    <w:p w14:paraId="2E823D0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Segmentar hisobot javobgarlik markazlari faoliyatini baholashning asosi sifatida.</w:t>
      </w:r>
    </w:p>
    <w:p w14:paraId="08A5DDC2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en-US"/>
        </w:rPr>
        <w:t>S</w:t>
      </w:r>
      <w:r w:rsidRPr="00F30F96">
        <w:rPr>
          <w:rFonts w:ascii="Times New Roman" w:hAnsi="Times New Roman"/>
          <w:b/>
          <w:sz w:val="24"/>
          <w:szCs w:val="24"/>
          <w:lang w:val="uz-Cyrl-UZ"/>
        </w:rPr>
        <w:t>egmentar hisobotni tuzish qoidalari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30F96">
        <w:rPr>
          <w:rFonts w:ascii="Times New Roman" w:hAnsi="Times New Roman"/>
          <w:sz w:val="24"/>
          <w:szCs w:val="24"/>
          <w:lang w:val="uz-Cyrl-UZ"/>
        </w:rPr>
        <w:t>Tashqi foydalanuvchilar</w:t>
      </w:r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3216508B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en-US"/>
        </w:rPr>
        <w:t>Segmentar hisobotning mohiyati, ahamiyati va uni tashkil etish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(j</w:t>
      </w:r>
      <w:r w:rsidRPr="00B50053">
        <w:rPr>
          <w:rFonts w:ascii="Times New Roman" w:hAnsi="Times New Roman"/>
          <w:sz w:val="24"/>
          <w:szCs w:val="24"/>
          <w:lang w:val="en-US"/>
        </w:rPr>
        <w:t>oriy segment</w:t>
      </w:r>
      <w:r w:rsidRPr="00B50053">
        <w:rPr>
          <w:rFonts w:ascii="Times New Roman" w:hAnsi="Times New Roman"/>
          <w:sz w:val="24"/>
          <w:szCs w:val="24"/>
          <w:lang w:val="uz-Cyrl-UZ"/>
        </w:rPr>
        <w:t>, h</w:t>
      </w:r>
      <w:r w:rsidRPr="00B50053">
        <w:rPr>
          <w:rFonts w:ascii="Times New Roman" w:hAnsi="Times New Roman"/>
          <w:sz w:val="24"/>
          <w:szCs w:val="24"/>
          <w:lang w:val="en-US"/>
        </w:rPr>
        <w:t>ududiy segment</w:t>
      </w:r>
      <w:r w:rsidRPr="00B50053">
        <w:rPr>
          <w:rFonts w:ascii="Times New Roman" w:hAnsi="Times New Roman"/>
          <w:sz w:val="24"/>
          <w:szCs w:val="24"/>
          <w:lang w:val="uz-Cyrl-UZ"/>
        </w:rPr>
        <w:t>, s</w:t>
      </w:r>
      <w:r w:rsidRPr="00B50053">
        <w:rPr>
          <w:rFonts w:ascii="Times New Roman" w:hAnsi="Times New Roman"/>
          <w:sz w:val="24"/>
          <w:szCs w:val="24"/>
          <w:lang w:val="en-US"/>
        </w:rPr>
        <w:t>egmentlar bo‘yicha ma’lumot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7018596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 jarayonli kalkulyasiya qilishning xususiyatlari va qo’llanilishi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(ekvivalent birlik, jarayonlar, bosqichlari)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3AF83381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Tannarxning boshqa jarayonga o’tkazilishi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Boshlang’ich zahira, kirim qilingan birliklar, boshqa jarayonga o’tkazilgan birliklar, oxirgi zahira)</w:t>
      </w:r>
      <w:r w:rsidRPr="00B50053">
        <w:rPr>
          <w:rFonts w:ascii="Times New Roman" w:hAnsi="Times New Roman"/>
          <w:b/>
          <w:i/>
          <w:sz w:val="24"/>
          <w:szCs w:val="24"/>
          <w:lang w:val="uz-Cyrl-UZ"/>
        </w:rPr>
        <w:t>.</w:t>
      </w:r>
    </w:p>
    <w:p w14:paraId="5136EE76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Tannarxning funksional kalkulyasiyasi mohiyati va zaruriyati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annarx drayveri, taqsimlash stavkasi, AVS tizimi).</w:t>
      </w:r>
    </w:p>
    <w:p w14:paraId="3F36D788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Tannarxning funksional kalkulyasiyasi tizimini amalga oshirish bosqichlari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xarajat omili, asosiy faoliyat turlarini belgilab olish, xarajat markazlari bo’yicha tannarxni taqsimlash, har bir asosiy faoliyat turi uchun xarajat omilini aniqlash)</w:t>
      </w:r>
      <w:r w:rsidRPr="00B50053">
        <w:rPr>
          <w:rFonts w:ascii="Times New Roman" w:hAnsi="Times New Roman"/>
          <w:i/>
          <w:sz w:val="24"/>
          <w:szCs w:val="24"/>
          <w:lang w:val="uz-Latn-UZ"/>
        </w:rPr>
        <w:t>.</w:t>
      </w:r>
    </w:p>
    <w:p w14:paraId="6DD3F3A0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Tashqi foydalanuvchilar uchun segmentar hisobotni tuzish qoidalari va tamoyillari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(aniq manzilli, ishonchli, tushunarli, muhimlik, tezkorlik, ehtiyotkorlik, taqqoslanuvchanlik).</w:t>
      </w:r>
    </w:p>
    <w:p w14:paraId="731F772E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TMZlar tannarxini aniqlash, hisobga olish tizimlari va baholash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uzluksiz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va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davriy tizimlari, </w:t>
      </w:r>
      <w:r w:rsidRPr="00B50053">
        <w:rPr>
          <w:rFonts w:ascii="Times New Roman" w:hAnsi="Times New Roman"/>
          <w:sz w:val="24"/>
          <w:szCs w:val="24"/>
          <w:lang w:val="uz-Cyrl-UZ"/>
        </w:rPr>
        <w:t>FIFO, LIFO, AVEKO)</w:t>
      </w:r>
      <w:r w:rsidRPr="00B50053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4ABA7DC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To‘liq va o‘zgaruvchan xarajatlarni hisobga olish usullari, ularning moliyaviy natijalarga ta’siri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(to‘g‘ri moddiy xarajatlar, to‘g‘ri mehnat (ish) haqi xarajatlari, o‘zgaruvchan umumishlab chiqarish xarajatlari, to‘liq xarajatlarni hisoblash usuli)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513B562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>T</w:t>
      </w:r>
      <w:r w:rsidRPr="00F30F96">
        <w:rPr>
          <w:rFonts w:ascii="Times New Roman" w:hAnsi="Times New Roman"/>
          <w:b/>
          <w:sz w:val="24"/>
          <w:szCs w:val="24"/>
          <w:lang w:val="uz-Cyrl-UZ"/>
        </w:rPr>
        <w:t>ransfert baholarni o‘rnatish uslublari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30F96">
        <w:rPr>
          <w:rFonts w:ascii="Times New Roman" w:hAnsi="Times New Roman"/>
          <w:sz w:val="24"/>
          <w:szCs w:val="24"/>
          <w:lang w:val="uz-Cyrl-UZ"/>
        </w:rPr>
        <w:t>bozor narxi va xarajatlar miqdori bo‘yicha baholash, uning afzalliklari va kamchiliklari</w:t>
      </w:r>
      <w:r w:rsidRPr="00F30F96">
        <w:rPr>
          <w:rFonts w:ascii="Times New Roman" w:hAnsi="Times New Roman"/>
          <w:sz w:val="24"/>
          <w:szCs w:val="24"/>
          <w:lang w:val="en-US"/>
        </w:rPr>
        <w:t>).</w:t>
      </w:r>
    </w:p>
    <w:p w14:paraId="5CA5B926" w14:textId="2878CC5B" w:rsidR="00915099" w:rsidRPr="00915099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en-US"/>
        </w:rPr>
        <w:lastRenderedPageBreak/>
        <w:t>Transfert bahoni aniqlash tartibi va usullari.</w:t>
      </w:r>
      <w:r w:rsidRPr="00B50053">
        <w:rPr>
          <w:rFonts w:ascii="Times New Roman" w:hAnsi="Times New Roman"/>
          <w:sz w:val="24"/>
          <w:szCs w:val="24"/>
          <w:lang w:val="en-US"/>
        </w:rPr>
        <w:t xml:space="preserve"> (“xarajatlar - plyus”, usuli, yalpi foyda va sotish rentabelligi).</w:t>
      </w:r>
    </w:p>
    <w:p w14:paraId="5CBCDCE4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en-US"/>
        </w:rPr>
        <w:t>Transfert bahoni shakllantirish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(Sanoat, savdo va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30F96">
        <w:rPr>
          <w:rFonts w:ascii="Times New Roman" w:hAnsi="Times New Roman"/>
          <w:sz w:val="24"/>
          <w:szCs w:val="24"/>
          <w:lang w:val="en-US"/>
        </w:rPr>
        <w:t>bank tizimida).</w:t>
      </w:r>
    </w:p>
    <w:p w14:paraId="5472FAD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Transfert bahosining turlari va shakllantirish tamoyillari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(Bozor bahosi, to’liq tannarx plyus foyda, o’zgaruvchan xarajatlar plyus foyda, to’liq yoki qisqartirilgan tannarx)</w:t>
      </w:r>
    </w:p>
    <w:p w14:paraId="10099AD0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Ustama xarajatlarning mazmuni va tarkibi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915099">
        <w:rPr>
          <w:rFonts w:ascii="Times New Roman" w:hAnsi="Times New Roman"/>
          <w:sz w:val="24"/>
          <w:szCs w:val="24"/>
          <w:lang w:val="uz-Cyrl-UZ"/>
        </w:rPr>
        <w:t>to’g’ridan to’g’ri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915099">
        <w:rPr>
          <w:rFonts w:ascii="Times New Roman" w:hAnsi="Times New Roman"/>
          <w:sz w:val="24"/>
          <w:szCs w:val="24"/>
          <w:lang w:val="uz-Cyrl-UZ"/>
        </w:rPr>
        <w:t>bilvosita</w:t>
      </w:r>
      <w:r w:rsidRPr="00B50053">
        <w:rPr>
          <w:rFonts w:ascii="Times New Roman" w:hAnsi="Times New Roman"/>
          <w:sz w:val="24"/>
          <w:szCs w:val="24"/>
          <w:lang w:val="uz-Cyrl-UZ"/>
        </w:rPr>
        <w:t>, umumishlab chiqarish, yordamchi ishlab chiqarish xarajatlari)</w:t>
      </w:r>
      <w:r w:rsidRPr="00915099">
        <w:rPr>
          <w:rFonts w:ascii="Times New Roman" w:hAnsi="Times New Roman"/>
          <w:sz w:val="24"/>
          <w:szCs w:val="24"/>
          <w:lang w:val="uz-Cyrl-UZ"/>
        </w:rPr>
        <w:t>.</w:t>
      </w:r>
    </w:p>
    <w:p w14:paraId="2AE082EE" w14:textId="09B0055B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Variable Costing va Absorption Costing illyustrasiyasi va solishtirilishi.</w:t>
      </w:r>
    </w:p>
    <w:p w14:paraId="020BAE92" w14:textId="77777777" w:rsidR="00915099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 chiziqli funksiyalari tenglamasi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 (o</w:t>
      </w:r>
      <w:r w:rsidRPr="00B50053">
        <w:rPr>
          <w:rFonts w:ascii="Times New Roman" w:hAnsi="Times New Roman"/>
          <w:sz w:val="24"/>
          <w:szCs w:val="24"/>
          <w:lang w:val="en-US"/>
        </w:rPr>
        <w:t>ddiy regressiya</w:t>
      </w:r>
      <w:r w:rsidRPr="00B50053">
        <w:rPr>
          <w:rFonts w:ascii="Times New Roman" w:hAnsi="Times New Roman"/>
          <w:sz w:val="24"/>
          <w:szCs w:val="24"/>
          <w:lang w:val="uz-Cyrl-UZ"/>
        </w:rPr>
        <w:t>,</w:t>
      </w:r>
      <w:r w:rsidRPr="00B50053">
        <w:rPr>
          <w:rFonts w:ascii="Times New Roman" w:hAnsi="Times New Roman"/>
          <w:sz w:val="24"/>
          <w:szCs w:val="24"/>
          <w:lang w:val="en-US"/>
        </w:rPr>
        <w:t xml:space="preserve"> ko’p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omilli</w:t>
      </w:r>
      <w:r w:rsidRPr="00B50053">
        <w:rPr>
          <w:rFonts w:ascii="Times New Roman" w:hAnsi="Times New Roman"/>
          <w:sz w:val="24"/>
          <w:szCs w:val="24"/>
          <w:lang w:val="en-US"/>
        </w:rPr>
        <w:t xml:space="preserve"> regressiya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233BF34C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 funksiyalarini baholash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(Muhandislik usuli, schyotlar tahlili, eng katta va eng kichik qiymat, diagrammada ifodalash usuli).</w:t>
      </w:r>
    </w:p>
    <w:p w14:paraId="411D735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 mohiyati va uning hisobi vazifalari, xarajatlarni turli belgilar bo’yicha tasniflanishi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(Bevosita (to’g’ridan to’g’ri) va bilvosita (to’g’ridan-to’g’ri bo’lmagan) xarajatlar, o’rtacha va umumiy xarajatlar, mahsulot tannarxi va davr xarajatlari, o’zgaruvchan va doimiy xarajatlar, relevant va norelevant xarajatlar).</w:t>
      </w:r>
    </w:p>
    <w:p w14:paraId="3D7CD9FC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Xarajatlarni ikkibosqichli taqsimlash jarayoni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taqsimlashning asosiy maqsadlari,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faoliyat maydoni, qismlar, ekspedisiya, mahsulot, ish va xizmatlar,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tannarx zarrachalari)</w:t>
      </w:r>
      <w:r w:rsidRPr="008B6E29">
        <w:rPr>
          <w:rFonts w:ascii="Times New Roman" w:hAnsi="Times New Roman"/>
          <w:i/>
          <w:sz w:val="24"/>
          <w:szCs w:val="24"/>
          <w:lang w:val="uz-Cyrl-UZ"/>
        </w:rPr>
        <w:t>.</w:t>
      </w:r>
    </w:p>
    <w:p w14:paraId="79C361D3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Xarajatlarni taqsimlash tartibi va usuli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(xarajatlarni taqsimlash, xarajatlar obyekti, xarajatlar markazi, normativ xarajatlar, o‘zgaruvchan xarajatlar)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4FD009D8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Xarajatlarni to‘la taqsimlab kalkulyatsiyalash va tannarxni o‘zgaruvchi xarajatlar bo‘yicha kalkulyatsiyalashning foyda miqdoriga ta’siri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(Ditect costing, Absorption costing).</w:t>
      </w:r>
    </w:p>
    <w:p w14:paraId="2212EBCD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Xarajatlarni to‘la taqsimlab tannarxni kalkulyatsiya qilish bilan tannarxni  o‘zgaruvchan xarajatlar bo‘yicha kalkulyatsiya qilish o‘rtasidagi tafovutni ko‘rsatish.</w:t>
      </w:r>
    </w:p>
    <w:p w14:paraId="7ADEEAAD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 xml:space="preserve">Xarajatlarni to‘la taqsimlab va o‘zgaruvchan xarajatlar bo‘yicha tannarxni kalkulyatsiya qilishni quvvatlovchi dalillar </w:t>
      </w:r>
      <w:r w:rsidRPr="00F30F96">
        <w:rPr>
          <w:rFonts w:ascii="Times New Roman" w:hAnsi="Times New Roman"/>
          <w:sz w:val="24"/>
          <w:szCs w:val="24"/>
          <w:lang w:val="uz-Cyrl-UZ"/>
        </w:rPr>
        <w:t>(direct costing).</w:t>
      </w:r>
    </w:p>
    <w:p w14:paraId="54DDEE60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Xarajatlarni to‘la taqsimlab va o‘zgaruvchan xarajatlar bo‘yicha tannarxni kalkulyatsiya qilishni quvvatlovchi dalillar.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(Absorption costing)</w:t>
      </w:r>
    </w:p>
    <w:p w14:paraId="46BA6157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Xizmat ko’rsatuvchi bo’limlar xarajatlarini taqsimlash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(Tug’ridan-to’g’ri (direct), qadamba-qadam (step-down), takror taqsimlash (step-by-step), chiziqli tenglama tizimi (reciprocal).</w:t>
      </w:r>
    </w:p>
    <w:p w14:paraId="4D04FD42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 xml:space="preserve">Xo‘jalik yurituvchi subyekt byudjeti mohiyati va fuksiyalari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(rejalashtirish, muvofiqlashtirish, rag‘batlantirish, nazorat, baholash).</w:t>
      </w:r>
    </w:p>
    <w:p w14:paraId="3C337CFB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Zahiralar darajasini rejalashtirish va buyurtmalarning optimal miqdorini aniqlash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buyurtma qilish tannarxi, 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zahiralarni saqlash qiymati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r w:rsidRPr="00B50053">
        <w:rPr>
          <w:rFonts w:ascii="Times New Roman" w:hAnsi="Times New Roman"/>
          <w:sz w:val="24"/>
          <w:szCs w:val="24"/>
          <w:lang w:val="uz-Cyrl-UZ"/>
        </w:rPr>
        <w:t>grafik usul, formula usuli)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1E4E6D98" w14:textId="3E456F1F" w:rsidR="00915099" w:rsidRPr="00B50053" w:rsidRDefault="00915099" w:rsidP="00A9694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uz-Cyrl-UZ"/>
        </w:rPr>
      </w:pPr>
    </w:p>
    <w:sectPr w:rsidR="00915099" w:rsidRPr="00B50053" w:rsidSect="00A9694F">
      <w:pgSz w:w="16838" w:h="11906" w:orient="landscape"/>
      <w:pgMar w:top="426" w:right="28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RO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4E4D"/>
    <w:multiLevelType w:val="hybridMultilevel"/>
    <w:tmpl w:val="6DA4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68FD"/>
    <w:multiLevelType w:val="hybridMultilevel"/>
    <w:tmpl w:val="1966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625"/>
    <w:multiLevelType w:val="hybridMultilevel"/>
    <w:tmpl w:val="67C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0C30"/>
    <w:multiLevelType w:val="hybridMultilevel"/>
    <w:tmpl w:val="67C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16668"/>
    <w:multiLevelType w:val="hybridMultilevel"/>
    <w:tmpl w:val="EF28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52089"/>
    <w:multiLevelType w:val="hybridMultilevel"/>
    <w:tmpl w:val="CC208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52D9C"/>
    <w:multiLevelType w:val="hybridMultilevel"/>
    <w:tmpl w:val="081C8B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2298594">
    <w:abstractNumId w:val="5"/>
  </w:num>
  <w:num w:numId="2" w16cid:durableId="766848626">
    <w:abstractNumId w:val="0"/>
  </w:num>
  <w:num w:numId="3" w16cid:durableId="179899408">
    <w:abstractNumId w:val="4"/>
  </w:num>
  <w:num w:numId="4" w16cid:durableId="17582182">
    <w:abstractNumId w:val="3"/>
  </w:num>
  <w:num w:numId="5" w16cid:durableId="1032455738">
    <w:abstractNumId w:val="6"/>
  </w:num>
  <w:num w:numId="6" w16cid:durableId="406617588">
    <w:abstractNumId w:val="2"/>
  </w:num>
  <w:num w:numId="7" w16cid:durableId="37855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4F"/>
    <w:rsid w:val="003274DD"/>
    <w:rsid w:val="007F521B"/>
    <w:rsid w:val="008B6E29"/>
    <w:rsid w:val="00915099"/>
    <w:rsid w:val="00A9694F"/>
    <w:rsid w:val="00B50053"/>
    <w:rsid w:val="00F3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1497"/>
  <w15:chartTrackingRefBased/>
  <w15:docId w15:val="{391BBA45-6B6D-49F3-80E7-4D71151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94F"/>
    <w:pPr>
      <w:ind w:left="720"/>
      <w:contextualSpacing/>
    </w:pPr>
  </w:style>
  <w:style w:type="paragraph" w:styleId="2">
    <w:name w:val="Body Text Indent 2"/>
    <w:basedOn w:val="a"/>
    <w:link w:val="20"/>
    <w:rsid w:val="00A9694F"/>
    <w:pPr>
      <w:spacing w:after="0" w:line="240" w:lineRule="auto"/>
      <w:ind w:right="43" w:firstLine="540"/>
      <w:jc w:val="both"/>
    </w:pPr>
    <w:rPr>
      <w:rFonts w:ascii="Times New Roman IRO" w:eastAsia="Times New Roman" w:hAnsi="Times New Roman IRO"/>
      <w:sz w:val="24"/>
      <w:szCs w:val="20"/>
      <w:lang w:val="en-GB" w:eastAsia="ru-RU"/>
    </w:rPr>
  </w:style>
  <w:style w:type="character" w:customStyle="1" w:styleId="20">
    <w:name w:val="Основной текст с отступом 2 Знак"/>
    <w:basedOn w:val="a0"/>
    <w:link w:val="2"/>
    <w:rsid w:val="00A9694F"/>
    <w:rPr>
      <w:rFonts w:ascii="Times New Roman IRO" w:eastAsia="Times New Roman" w:hAnsi="Times New Roman IRO" w:cs="Times New Roman"/>
      <w:kern w:val="0"/>
      <w:sz w:val="24"/>
      <w:szCs w:val="20"/>
      <w:lang w:val="en-GB" w:eastAsia="ru-RU"/>
      <w14:ligatures w14:val="none"/>
    </w:rPr>
  </w:style>
  <w:style w:type="paragraph" w:styleId="a4">
    <w:name w:val="Body Text Indent"/>
    <w:basedOn w:val="a"/>
    <w:link w:val="a5"/>
    <w:uiPriority w:val="99"/>
    <w:unhideWhenUsed/>
    <w:rsid w:val="00A9694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9694F"/>
    <w:rPr>
      <w:rFonts w:ascii="Calibri" w:eastAsia="Calibri" w:hAnsi="Calibri" w:cs="Times New Roman"/>
      <w:kern w:val="0"/>
      <w14:ligatures w14:val="none"/>
    </w:rPr>
  </w:style>
  <w:style w:type="paragraph" w:styleId="a6">
    <w:name w:val="header"/>
    <w:basedOn w:val="a"/>
    <w:link w:val="a7"/>
    <w:unhideWhenUsed/>
    <w:rsid w:val="00A9694F"/>
    <w:pPr>
      <w:tabs>
        <w:tab w:val="center" w:pos="4153"/>
        <w:tab w:val="right" w:pos="8306"/>
      </w:tabs>
      <w:spacing w:after="0" w:line="240" w:lineRule="auto"/>
    </w:pPr>
    <w:rPr>
      <w:rFonts w:ascii="Times New Roman IRO" w:eastAsia="Times New Roman" w:hAnsi="Times New Roman IRO"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9694F"/>
    <w:rPr>
      <w:rFonts w:ascii="Times New Roman IRO" w:eastAsia="Times New Roman" w:hAnsi="Times New Roman IRO" w:cs="Times New Roman"/>
      <w:kern w:val="0"/>
      <w:sz w:val="26"/>
      <w:szCs w:val="20"/>
      <w:lang w:eastAsia="ru-RU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A9694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A9694F"/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A9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694F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4</cp:revision>
  <dcterms:created xsi:type="dcterms:W3CDTF">2023-12-03T13:20:00Z</dcterms:created>
  <dcterms:modified xsi:type="dcterms:W3CDTF">2023-12-03T14:29:00Z</dcterms:modified>
</cp:coreProperties>
</file>